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DDC5" w14:textId="70BD4F78" w:rsidR="003D5412" w:rsidRPr="00107624" w:rsidRDefault="003D5412" w:rsidP="00C178A4">
      <w:pPr>
        <w:shd w:val="clear" w:color="auto" w:fill="FFFFFF"/>
        <w:spacing w:after="0" w:line="240" w:lineRule="auto"/>
        <w:jc w:val="right"/>
        <w:rPr>
          <w:rFonts w:cs="Times New Roman"/>
          <w:b/>
          <w:noProof/>
          <w:szCs w:val="24"/>
          <w:lang w:val="ro-RO"/>
        </w:rPr>
      </w:pPr>
    </w:p>
    <w:p w14:paraId="5917CB4C" w14:textId="282908E6" w:rsidR="009777C7" w:rsidRPr="00107624" w:rsidRDefault="00535C5F" w:rsidP="00C178A4">
      <w:pPr>
        <w:shd w:val="clear" w:color="auto" w:fill="FFFFFF"/>
        <w:spacing w:after="0" w:line="240" w:lineRule="auto"/>
        <w:jc w:val="right"/>
        <w:rPr>
          <w:rFonts w:cs="Times New Roman"/>
          <w:b/>
          <w:noProof/>
          <w:szCs w:val="24"/>
          <w:lang w:val="ro-RO"/>
        </w:rPr>
      </w:pPr>
      <w:r w:rsidRPr="00107624">
        <w:rPr>
          <w:rFonts w:cs="Times New Roman"/>
          <w:b/>
          <w:noProof/>
          <w:szCs w:val="24"/>
          <w:lang w:val="ro-RO"/>
        </w:rPr>
        <w:t>Anexa 2</w:t>
      </w:r>
      <w:r w:rsidR="00C178A4">
        <w:rPr>
          <w:rFonts w:cs="Times New Roman"/>
          <w:b/>
          <w:noProof/>
          <w:szCs w:val="24"/>
          <w:lang w:val="ro-RO"/>
        </w:rPr>
        <w:t xml:space="preserve"> la schema de ajutor de stat</w:t>
      </w:r>
    </w:p>
    <w:p w14:paraId="49471700" w14:textId="77777777" w:rsidR="00C178A4" w:rsidRDefault="00C178A4" w:rsidP="00CB1CF6">
      <w:pPr>
        <w:shd w:val="clear" w:color="auto" w:fill="FFFFFF"/>
        <w:spacing w:after="0" w:line="240" w:lineRule="auto"/>
        <w:jc w:val="center"/>
        <w:rPr>
          <w:rFonts w:cs="Times New Roman"/>
          <w:b/>
          <w:noProof/>
          <w:szCs w:val="24"/>
          <w:lang w:val="ro-RO"/>
        </w:rPr>
      </w:pPr>
    </w:p>
    <w:p w14:paraId="474A44B9" w14:textId="77777777" w:rsidR="00C178A4" w:rsidRDefault="00C178A4" w:rsidP="00CB1CF6">
      <w:pPr>
        <w:shd w:val="clear" w:color="auto" w:fill="FFFFFF"/>
        <w:spacing w:after="0" w:line="240" w:lineRule="auto"/>
        <w:jc w:val="center"/>
        <w:rPr>
          <w:rFonts w:cs="Times New Roman"/>
          <w:b/>
          <w:noProof/>
          <w:szCs w:val="24"/>
          <w:lang w:val="ro-RO"/>
        </w:rPr>
      </w:pPr>
    </w:p>
    <w:p w14:paraId="6D455EA3" w14:textId="00DF025F" w:rsidR="000D168C" w:rsidRPr="00107624" w:rsidRDefault="00404182" w:rsidP="00CB1CF6">
      <w:pPr>
        <w:shd w:val="clear" w:color="auto" w:fill="FFFFFF"/>
        <w:spacing w:after="0" w:line="240" w:lineRule="auto"/>
        <w:jc w:val="center"/>
        <w:rPr>
          <w:rFonts w:cs="Times New Roman"/>
          <w:b/>
          <w:noProof/>
          <w:szCs w:val="24"/>
          <w:lang w:val="ro-RO"/>
        </w:rPr>
      </w:pPr>
      <w:r w:rsidRPr="00107624">
        <w:rPr>
          <w:rFonts w:cs="Times New Roman"/>
          <w:b/>
          <w:noProof/>
          <w:szCs w:val="24"/>
          <w:lang w:val="ro-RO"/>
        </w:rPr>
        <w:t xml:space="preserve"> </w:t>
      </w:r>
      <w:r w:rsidR="00D329E9" w:rsidRPr="00107624">
        <w:rPr>
          <w:rFonts w:cs="Times New Roman"/>
          <w:b/>
          <w:noProof/>
          <w:szCs w:val="24"/>
          <w:lang w:val="ro-RO"/>
        </w:rPr>
        <w:t xml:space="preserve">Conformitatea cu </w:t>
      </w:r>
      <w:r w:rsidR="00136FEB" w:rsidRPr="00107624">
        <w:rPr>
          <w:rFonts w:cs="Times New Roman"/>
          <w:b/>
          <w:noProof/>
          <w:szCs w:val="24"/>
          <w:lang w:val="ro-RO"/>
        </w:rPr>
        <w:t>prevederile</w:t>
      </w:r>
      <w:r w:rsidR="00D329E9" w:rsidRPr="00107624">
        <w:rPr>
          <w:rFonts w:cs="Times New Roman"/>
          <w:b/>
          <w:noProof/>
          <w:szCs w:val="24"/>
          <w:lang w:val="ro-RO"/>
        </w:rPr>
        <w:t xml:space="preserve"> </w:t>
      </w:r>
    </w:p>
    <w:p w14:paraId="79BB2A02" w14:textId="103DE658" w:rsidR="00D329E9" w:rsidRPr="00107624" w:rsidRDefault="00D329E9" w:rsidP="00CB1CF6">
      <w:pPr>
        <w:shd w:val="clear" w:color="auto" w:fill="FFFFFF"/>
        <w:spacing w:after="0" w:line="240" w:lineRule="auto"/>
        <w:jc w:val="center"/>
        <w:rPr>
          <w:rFonts w:cs="Times New Roman"/>
          <w:b/>
          <w:iCs/>
          <w:noProof/>
          <w:szCs w:val="24"/>
          <w:lang w:val="ro-RO"/>
        </w:rPr>
      </w:pPr>
      <w:r w:rsidRPr="00107624">
        <w:rPr>
          <w:rFonts w:cs="Times New Roman"/>
          <w:b/>
          <w:noProof/>
          <w:szCs w:val="24"/>
          <w:lang w:val="ro-RO"/>
        </w:rPr>
        <w:t>Regulamentul</w:t>
      </w:r>
      <w:r w:rsidR="00C23D55" w:rsidRPr="00107624">
        <w:rPr>
          <w:rFonts w:cs="Times New Roman"/>
          <w:b/>
          <w:noProof/>
          <w:szCs w:val="24"/>
          <w:lang w:val="ro-RO"/>
        </w:rPr>
        <w:t xml:space="preserve">ui (UE) nr. </w:t>
      </w:r>
      <w:r w:rsidRPr="00107624">
        <w:rPr>
          <w:rFonts w:cs="Times New Roman"/>
          <w:b/>
          <w:noProof/>
          <w:szCs w:val="24"/>
          <w:lang w:val="ro-RO"/>
        </w:rPr>
        <w:t xml:space="preserve">651/2014 </w:t>
      </w:r>
      <w:r w:rsidR="00C23D55" w:rsidRPr="00107624">
        <w:rPr>
          <w:rFonts w:cs="Times New Roman"/>
          <w:b/>
          <w:iCs/>
          <w:noProof/>
          <w:szCs w:val="24"/>
          <w:lang w:val="ro-RO"/>
        </w:rPr>
        <w:t>de declarare a anumitor categorii de ajutoare compatibile cu piața internă în aplicarea articolelor 107 și 108 din tratat</w:t>
      </w:r>
      <w:r w:rsidR="00C23D55" w:rsidRPr="00107624">
        <w:rPr>
          <w:rFonts w:eastAsia="Times New Roman" w:cs="Times New Roman"/>
          <w:b/>
          <w:bCs/>
          <w:iCs/>
          <w:szCs w:val="24"/>
          <w:vertAlign w:val="superscript"/>
          <w:lang w:val="gsw-FR" w:eastAsia="sk-SK"/>
        </w:rPr>
        <w:t xml:space="preserve"> </w:t>
      </w:r>
      <w:r w:rsidR="00B1772C" w:rsidRPr="00107624">
        <w:rPr>
          <w:rFonts w:eastAsia="Times New Roman" w:cs="Times New Roman"/>
          <w:b/>
          <w:bCs/>
          <w:iCs/>
          <w:szCs w:val="24"/>
          <w:vertAlign w:val="superscript"/>
          <w:lang w:val="gsw-FR" w:eastAsia="sk-SK"/>
        </w:rPr>
        <w:footnoteReference w:id="1"/>
      </w:r>
      <w:r w:rsidR="0080015E" w:rsidRPr="00107624">
        <w:rPr>
          <w:rFonts w:cs="Times New Roman"/>
          <w:b/>
          <w:iCs/>
          <w:noProof/>
          <w:szCs w:val="24"/>
          <w:lang w:val="ro-RO"/>
        </w:rPr>
        <w:t xml:space="preserve"> </w:t>
      </w:r>
    </w:p>
    <w:p w14:paraId="1C477588" w14:textId="77777777" w:rsidR="00D329E9" w:rsidRPr="00107624" w:rsidRDefault="00D329E9" w:rsidP="00D329E9">
      <w:pPr>
        <w:shd w:val="clear" w:color="auto" w:fill="FFFFFF"/>
        <w:spacing w:after="0" w:line="240" w:lineRule="auto"/>
        <w:jc w:val="both"/>
        <w:rPr>
          <w:rFonts w:cs="Times New Roman"/>
          <w:b/>
          <w:noProof/>
          <w:szCs w:val="24"/>
          <w:lang w:val="ro-RO"/>
        </w:rPr>
      </w:pPr>
    </w:p>
    <w:p w14:paraId="7C749DF9" w14:textId="77777777" w:rsidR="00C456E8" w:rsidRPr="00107624" w:rsidRDefault="00C456E8" w:rsidP="00D329E9">
      <w:pPr>
        <w:shd w:val="clear" w:color="auto" w:fill="FFFFFF"/>
        <w:spacing w:after="0" w:line="240" w:lineRule="auto"/>
        <w:jc w:val="both"/>
        <w:rPr>
          <w:rFonts w:cs="Times New Roman"/>
          <w:b/>
          <w:i/>
          <w:noProof/>
          <w:szCs w:val="24"/>
          <w:lang w:val="ro-RO"/>
        </w:rPr>
      </w:pPr>
    </w:p>
    <w:p w14:paraId="6358C1A9" w14:textId="77777777" w:rsidR="00C456E8" w:rsidRPr="00107624" w:rsidRDefault="00C456E8" w:rsidP="008C26EA">
      <w:pPr>
        <w:pStyle w:val="ListParagraph"/>
        <w:numPr>
          <w:ilvl w:val="0"/>
          <w:numId w:val="5"/>
        </w:numPr>
        <w:shd w:val="clear" w:color="auto" w:fill="FFFFFF"/>
        <w:spacing w:after="0" w:line="240" w:lineRule="auto"/>
        <w:ind w:left="284" w:hanging="284"/>
        <w:jc w:val="both"/>
        <w:rPr>
          <w:rFonts w:cs="Times New Roman"/>
          <w:b/>
          <w:i/>
          <w:noProof/>
          <w:szCs w:val="24"/>
          <w:lang w:val="ro-RO"/>
        </w:rPr>
      </w:pPr>
      <w:r w:rsidRPr="00107624">
        <w:rPr>
          <w:rFonts w:cs="Times New Roman"/>
          <w:b/>
          <w:noProof/>
          <w:szCs w:val="24"/>
          <w:lang w:val="ro-RO"/>
        </w:rPr>
        <w:t xml:space="preserve">Reguli </w:t>
      </w:r>
      <w:r w:rsidR="00E77C31" w:rsidRPr="00107624">
        <w:rPr>
          <w:rFonts w:cs="Times New Roman"/>
          <w:b/>
          <w:noProof/>
          <w:szCs w:val="24"/>
          <w:lang w:val="ro-RO"/>
        </w:rPr>
        <w:t xml:space="preserve">cu caracter general prevăzute în Capitolul </w:t>
      </w:r>
      <w:r w:rsidRPr="00107624">
        <w:rPr>
          <w:rFonts w:cs="Times New Roman"/>
          <w:b/>
          <w:noProof/>
          <w:szCs w:val="24"/>
          <w:lang w:val="ro-RO"/>
        </w:rPr>
        <w:t>I</w:t>
      </w:r>
      <w:r w:rsidR="00A22C57" w:rsidRPr="00107624">
        <w:rPr>
          <w:rFonts w:cs="Times New Roman"/>
          <w:b/>
          <w:noProof/>
          <w:szCs w:val="24"/>
          <w:lang w:val="ro-RO"/>
        </w:rPr>
        <w:t xml:space="preserve"> al </w:t>
      </w:r>
      <w:r w:rsidR="0061296D" w:rsidRPr="00107624">
        <w:rPr>
          <w:rFonts w:cs="Times New Roman"/>
          <w:b/>
          <w:i/>
          <w:noProof/>
          <w:szCs w:val="24"/>
          <w:lang w:val="ro-RO"/>
        </w:rPr>
        <w:t>Regulamentul</w:t>
      </w:r>
      <w:r w:rsidR="00335A65" w:rsidRPr="00107624">
        <w:rPr>
          <w:rFonts w:cs="Times New Roman"/>
          <w:b/>
          <w:i/>
          <w:noProof/>
          <w:szCs w:val="24"/>
          <w:lang w:val="ro-RO"/>
        </w:rPr>
        <w:t>ui</w:t>
      </w:r>
      <w:r w:rsidR="0061296D" w:rsidRPr="00107624">
        <w:rPr>
          <w:rFonts w:cs="Times New Roman"/>
          <w:b/>
          <w:i/>
          <w:noProof/>
          <w:szCs w:val="24"/>
          <w:lang w:val="ro-RO"/>
        </w:rPr>
        <w:t xml:space="preserve"> (UE) nr.651/2014 de declarare a anumitor categorii de ajutoare compatibile cu piața internă în aplicarea articolelor 107 și 108 din tratat</w:t>
      </w:r>
    </w:p>
    <w:p w14:paraId="297849D7" w14:textId="77777777" w:rsidR="00B57A33" w:rsidRPr="00107624" w:rsidRDefault="00037EF5" w:rsidP="00D90E91">
      <w:pPr>
        <w:shd w:val="clear" w:color="auto" w:fill="FFFFFF"/>
        <w:spacing w:before="100" w:beforeAutospacing="1" w:after="100" w:afterAutospacing="1" w:line="240" w:lineRule="auto"/>
        <w:jc w:val="both"/>
        <w:rPr>
          <w:rFonts w:cs="Times New Roman"/>
          <w:b/>
          <w:noProof/>
          <w:szCs w:val="24"/>
          <w:u w:val="single"/>
          <w:lang w:val="ro-RO"/>
        </w:rPr>
      </w:pPr>
      <w:r w:rsidRPr="00107624">
        <w:rPr>
          <w:rFonts w:cs="Times New Roman"/>
          <w:b/>
          <w:noProof/>
          <w:szCs w:val="24"/>
          <w:u w:val="single"/>
          <w:lang w:val="ro-RO"/>
        </w:rPr>
        <w:t>Art. 1.</w:t>
      </w:r>
      <w:r w:rsidR="00B57A33" w:rsidRPr="00107624">
        <w:rPr>
          <w:rFonts w:cs="Times New Roman"/>
          <w:b/>
          <w:noProof/>
          <w:szCs w:val="24"/>
          <w:u w:val="single"/>
          <w:lang w:val="ro-RO"/>
        </w:rPr>
        <w:t xml:space="preserve"> </w:t>
      </w:r>
      <w:r w:rsidRPr="00107624">
        <w:rPr>
          <w:rFonts w:cs="Times New Roman"/>
          <w:b/>
          <w:noProof/>
          <w:szCs w:val="24"/>
          <w:u w:val="single"/>
          <w:lang w:val="ro-RO"/>
        </w:rPr>
        <w:t>Domeniul de aplicare</w:t>
      </w:r>
      <w:r w:rsidR="00B57A33" w:rsidRPr="00107624">
        <w:rPr>
          <w:rFonts w:cs="Times New Roman"/>
          <w:b/>
          <w:noProof/>
          <w:szCs w:val="24"/>
          <w:u w:val="single"/>
          <w:lang w:val="ro-RO"/>
        </w:rPr>
        <w:t xml:space="preserve"> </w:t>
      </w:r>
    </w:p>
    <w:tbl>
      <w:tblPr>
        <w:tblStyle w:val="TableGrid"/>
        <w:tblW w:w="10031" w:type="dxa"/>
        <w:tblLook w:val="04A0" w:firstRow="1" w:lastRow="0" w:firstColumn="1" w:lastColumn="0" w:noHBand="0" w:noVBand="1"/>
      </w:tblPr>
      <w:tblGrid>
        <w:gridCol w:w="10031"/>
      </w:tblGrid>
      <w:tr w:rsidR="00107624" w:rsidRPr="00107624" w14:paraId="3CB602C3" w14:textId="77777777" w:rsidTr="008C26EA">
        <w:tc>
          <w:tcPr>
            <w:tcW w:w="10031" w:type="dxa"/>
          </w:tcPr>
          <w:p w14:paraId="7D6A0ABB" w14:textId="58C490B4" w:rsidR="00181923" w:rsidRDefault="0085267A" w:rsidP="00687A50">
            <w:pPr>
              <w:spacing w:before="100" w:beforeAutospacing="1" w:after="100" w:afterAutospacing="1"/>
              <w:jc w:val="both"/>
              <w:rPr>
                <w:rFonts w:cs="Times New Roman"/>
                <w:iCs/>
                <w:szCs w:val="24"/>
                <w:lang w:val="ro-RO"/>
              </w:rPr>
            </w:pPr>
            <w:r>
              <w:rPr>
                <w:rFonts w:cs="Times New Roman"/>
                <w:iCs/>
                <w:szCs w:val="24"/>
                <w:lang w:val="ro-RO"/>
              </w:rPr>
              <w:t>Solicitantul va completa</w:t>
            </w:r>
            <w:r w:rsidR="00181923" w:rsidRPr="00107624">
              <w:rPr>
                <w:rFonts w:cs="Times New Roman"/>
                <w:iCs/>
                <w:szCs w:val="24"/>
                <w:lang w:val="ro-RO"/>
              </w:rPr>
              <w:t xml:space="preserve"> informaţii referitoare la îndeplinirea următoarelor condiţii impuse de </w:t>
            </w:r>
            <w:r w:rsidR="006F1323" w:rsidRPr="00107624">
              <w:rPr>
                <w:rFonts w:cs="Times New Roman"/>
                <w:iCs/>
                <w:szCs w:val="24"/>
                <w:lang w:val="ro-RO"/>
              </w:rPr>
              <w:t>Regulamentul (UE) nr. 651/2014 de declarare a anumitor categorii de ajutoare compatibile cu piața internă în aplicarea articolelor 107 și 108 din tratat, cu modific</w:t>
            </w:r>
            <w:r w:rsidR="006F1323" w:rsidRPr="00107624">
              <w:rPr>
                <w:rFonts w:cs="Times New Roman" w:hint="eastAsia"/>
                <w:iCs/>
                <w:szCs w:val="24"/>
                <w:lang w:val="ro-RO"/>
              </w:rPr>
              <w:t>ă</w:t>
            </w:r>
            <w:r w:rsidR="006F1323" w:rsidRPr="00107624">
              <w:rPr>
                <w:rFonts w:cs="Times New Roman"/>
                <w:iCs/>
                <w:szCs w:val="24"/>
                <w:lang w:val="ro-RO"/>
              </w:rPr>
              <w:t>rile și complet</w:t>
            </w:r>
            <w:r w:rsidR="006F1323" w:rsidRPr="00107624">
              <w:rPr>
                <w:rFonts w:cs="Times New Roman" w:hint="eastAsia"/>
                <w:iCs/>
                <w:szCs w:val="24"/>
                <w:lang w:val="ro-RO"/>
              </w:rPr>
              <w:t>ă</w:t>
            </w:r>
            <w:r w:rsidR="006F1323" w:rsidRPr="00107624">
              <w:rPr>
                <w:rFonts w:cs="Times New Roman"/>
                <w:iCs/>
                <w:szCs w:val="24"/>
                <w:lang w:val="ro-RO"/>
              </w:rPr>
              <w:t>rile ulterioare</w:t>
            </w:r>
            <w:r w:rsidR="00F21499" w:rsidRPr="00107624">
              <w:rPr>
                <w:rFonts w:cs="Times New Roman"/>
                <w:iCs/>
                <w:szCs w:val="24"/>
                <w:lang w:val="ro-RO"/>
              </w:rPr>
              <w:t xml:space="preserve"> (</w:t>
            </w:r>
            <w:r w:rsidR="0080015E" w:rsidRPr="00107624">
              <w:rPr>
                <w:rFonts w:cs="Times New Roman"/>
                <w:iCs/>
                <w:szCs w:val="24"/>
                <w:lang w:val="ro-RO"/>
              </w:rPr>
              <w:t>Regulament</w:t>
            </w:r>
            <w:r w:rsidR="00F21499" w:rsidRPr="00107624">
              <w:rPr>
                <w:rFonts w:cs="Times New Roman"/>
                <w:iCs/>
                <w:szCs w:val="24"/>
                <w:lang w:val="ro-RO"/>
              </w:rPr>
              <w:t>)</w:t>
            </w:r>
            <w:r>
              <w:rPr>
                <w:rFonts w:cs="Times New Roman"/>
                <w:iCs/>
                <w:szCs w:val="24"/>
                <w:lang w:val="ro-RO"/>
              </w:rPr>
              <w:t>.</w:t>
            </w:r>
          </w:p>
          <w:p w14:paraId="3EBFAD3A" w14:textId="61D1DB3C" w:rsidR="00EE534F" w:rsidRPr="00107624" w:rsidRDefault="00EE534F" w:rsidP="00687A50">
            <w:pPr>
              <w:spacing w:before="100" w:beforeAutospacing="1" w:after="100" w:afterAutospacing="1"/>
              <w:jc w:val="both"/>
              <w:rPr>
                <w:rFonts w:cs="Times New Roman"/>
                <w:iCs/>
                <w:szCs w:val="24"/>
                <w:lang w:val="ro-RO"/>
              </w:rPr>
            </w:pPr>
            <w:r w:rsidRPr="00EE534F">
              <w:rPr>
                <w:rFonts w:cs="Times New Roman"/>
                <w:iCs/>
                <w:szCs w:val="24"/>
                <w:lang w:val="ro-RO"/>
              </w:rPr>
              <w:t>În cazul în care o întreprindere își desfășoară activitatea în sectorul pescuitului și acvaculturii, astfel cum sunt reglementate de Regulamentul (UE) nr. 1379/2013 al Parlamentului European și al Consiliului, aceasta nu este eligibilă pentru finanțare din prezenta schemă de ajutor de stat.</w:t>
            </w:r>
          </w:p>
          <w:p w14:paraId="48C02A2E" w14:textId="09BF27F9" w:rsidR="002A63AE" w:rsidRPr="00107624" w:rsidRDefault="00396211" w:rsidP="00B91539">
            <w:pPr>
              <w:spacing w:after="120"/>
              <w:jc w:val="both"/>
              <w:rPr>
                <w:rFonts w:cs="Times New Roman"/>
                <w:iCs/>
                <w:szCs w:val="24"/>
                <w:lang w:val="ro-RO"/>
              </w:rPr>
            </w:pPr>
            <w:r w:rsidRPr="00107624">
              <w:rPr>
                <w:rFonts w:cs="Times New Roman"/>
                <w:iCs/>
                <w:szCs w:val="24"/>
                <w:lang w:val="ro-RO"/>
              </w:rPr>
              <w:t>De asemenea, s</w:t>
            </w:r>
            <w:r w:rsidR="002A63AE" w:rsidRPr="00107624">
              <w:rPr>
                <w:rFonts w:cs="Times New Roman"/>
                <w:iCs/>
                <w:szCs w:val="24"/>
                <w:lang w:val="ro-RO"/>
              </w:rPr>
              <w:t>e va avea în vedere că</w:t>
            </w:r>
            <w:r w:rsidR="00EB17C5">
              <w:rPr>
                <w:rFonts w:cs="Times New Roman"/>
                <w:iCs/>
                <w:szCs w:val="24"/>
                <w:lang w:val="ro-RO"/>
              </w:rPr>
              <w:t>,</w:t>
            </w:r>
            <w:r w:rsidR="002A63AE" w:rsidRPr="00107624">
              <w:rPr>
                <w:rFonts w:cs="Times New Roman"/>
                <w:iCs/>
                <w:szCs w:val="24"/>
                <w:lang w:val="ro-RO"/>
              </w:rPr>
              <w:t xml:space="preserve"> dacă întreprinderea se află în u</w:t>
            </w:r>
            <w:r w:rsidR="003060D2" w:rsidRPr="00107624">
              <w:rPr>
                <w:rFonts w:cs="Times New Roman"/>
                <w:iCs/>
                <w:szCs w:val="24"/>
                <w:lang w:val="ro-RO"/>
              </w:rPr>
              <w:t>n</w:t>
            </w:r>
            <w:r w:rsidR="002A63AE" w:rsidRPr="00107624">
              <w:rPr>
                <w:rFonts w:cs="Times New Roman"/>
                <w:iCs/>
                <w:szCs w:val="24"/>
                <w:lang w:val="ro-RO"/>
              </w:rPr>
              <w:t>a din situaţiile</w:t>
            </w:r>
            <w:r w:rsidR="00903B0F" w:rsidRPr="00107624">
              <w:rPr>
                <w:rFonts w:cs="Times New Roman"/>
                <w:iCs/>
                <w:szCs w:val="24"/>
                <w:lang w:val="ro-RO"/>
              </w:rPr>
              <w:t xml:space="preserve"> de neeligibilitate prevăzute la </w:t>
            </w:r>
            <w:r w:rsidR="005B1B37">
              <w:rPr>
                <w:rFonts w:cs="Times New Roman"/>
                <w:iCs/>
                <w:szCs w:val="24"/>
                <w:lang w:val="ro-RO"/>
              </w:rPr>
              <w:t xml:space="preserve"> art. 10</w:t>
            </w:r>
            <w:r w:rsidR="00903B0F" w:rsidRPr="00107624">
              <w:rPr>
                <w:rFonts w:cs="Times New Roman"/>
                <w:iCs/>
                <w:szCs w:val="24"/>
                <w:lang w:val="ro-RO"/>
              </w:rPr>
              <w:t xml:space="preserve"> din schema de ajutor de stat, aceasta</w:t>
            </w:r>
            <w:r w:rsidR="00F21499" w:rsidRPr="00107624">
              <w:rPr>
                <w:rFonts w:cs="Times New Roman"/>
                <w:iCs/>
                <w:szCs w:val="24"/>
                <w:lang w:val="ro-RO"/>
              </w:rPr>
              <w:t xml:space="preserve"> </w:t>
            </w:r>
            <w:r w:rsidR="002A63AE" w:rsidRPr="00107624">
              <w:rPr>
                <w:rFonts w:cs="Times New Roman"/>
                <w:iCs/>
                <w:szCs w:val="24"/>
                <w:lang w:val="ro-RO"/>
              </w:rPr>
              <w:t xml:space="preserve">nu </w:t>
            </w:r>
            <w:r w:rsidR="00733893" w:rsidRPr="00107624">
              <w:rPr>
                <w:rFonts w:cs="Times New Roman"/>
                <w:iCs/>
                <w:szCs w:val="24"/>
                <w:lang w:val="ro-RO"/>
              </w:rPr>
              <w:t>este</w:t>
            </w:r>
            <w:r w:rsidR="002A63AE" w:rsidRPr="00107624">
              <w:rPr>
                <w:rFonts w:cs="Times New Roman"/>
                <w:iCs/>
                <w:szCs w:val="24"/>
                <w:lang w:val="ro-RO"/>
              </w:rPr>
              <w:t xml:space="preserve"> eligibil</w:t>
            </w:r>
            <w:r w:rsidR="00733893" w:rsidRPr="00107624">
              <w:rPr>
                <w:rFonts w:cs="Times New Roman"/>
                <w:iCs/>
                <w:szCs w:val="24"/>
                <w:lang w:val="ro-RO"/>
              </w:rPr>
              <w:t>ă</w:t>
            </w:r>
            <w:r w:rsidR="002A63AE" w:rsidRPr="00107624">
              <w:rPr>
                <w:rFonts w:cs="Times New Roman"/>
                <w:iCs/>
                <w:szCs w:val="24"/>
                <w:lang w:val="ro-RO"/>
              </w:rPr>
              <w:t xml:space="preserve"> pentru finanţare. Prin urmare, solicitantul va declara dacă:</w:t>
            </w:r>
          </w:p>
          <w:p w14:paraId="0F1F10F6" w14:textId="3BB5BB99" w:rsidR="002A63AE" w:rsidRPr="00107624" w:rsidRDefault="002A63AE" w:rsidP="00B91539">
            <w:pPr>
              <w:spacing w:after="120"/>
              <w:jc w:val="both"/>
              <w:rPr>
                <w:rFonts w:cs="Times New Roman"/>
                <w:iCs/>
                <w:szCs w:val="24"/>
                <w:lang w:val="ro-RO"/>
              </w:rPr>
            </w:pPr>
            <w:r w:rsidRPr="00107624">
              <w:rPr>
                <w:rFonts w:cs="Times New Roman"/>
                <w:iCs/>
                <w:szCs w:val="24"/>
                <w:lang w:val="ro-RO"/>
              </w:rPr>
              <w:t xml:space="preserve">- face obiectul unui ordin de recuperare neexecutat în urma unei decizii anterioare a Comisiei </w:t>
            </w:r>
            <w:r w:rsidR="00595F11" w:rsidRPr="00107624">
              <w:rPr>
                <w:rFonts w:cs="Times New Roman"/>
                <w:iCs/>
                <w:szCs w:val="24"/>
                <w:lang w:val="ro-RO"/>
              </w:rPr>
              <w:t xml:space="preserve">Europene </w:t>
            </w:r>
            <w:r w:rsidRPr="00107624">
              <w:rPr>
                <w:rFonts w:cs="Times New Roman"/>
                <w:iCs/>
                <w:szCs w:val="24"/>
                <w:lang w:val="ro-RO"/>
              </w:rPr>
              <w:t xml:space="preserve">prin care un ajutor este declarat ilegal și incompatibil cu piața internă.  </w:t>
            </w:r>
          </w:p>
          <w:p w14:paraId="1903AAA4" w14:textId="4CFC1782" w:rsidR="00195D58" w:rsidRPr="006F66E6" w:rsidRDefault="002A63AE" w:rsidP="006F5483">
            <w:pPr>
              <w:spacing w:after="120"/>
              <w:jc w:val="both"/>
              <w:rPr>
                <w:rFonts w:cs="Times New Roman"/>
                <w:iCs/>
                <w:szCs w:val="24"/>
                <w:lang w:val="ro-RO"/>
              </w:rPr>
            </w:pPr>
            <w:r w:rsidRPr="00107624">
              <w:rPr>
                <w:rFonts w:cs="Times New Roman"/>
                <w:iCs/>
                <w:szCs w:val="24"/>
                <w:lang w:val="ro-RO"/>
              </w:rPr>
              <w:t xml:space="preserve">- </w:t>
            </w:r>
            <w:r w:rsidR="00270CA3" w:rsidRPr="00107624">
              <w:rPr>
                <w:rFonts w:cs="Times New Roman"/>
                <w:iCs/>
                <w:szCs w:val="24"/>
                <w:lang w:val="ro-RO"/>
              </w:rPr>
              <w:t xml:space="preserve">este </w:t>
            </w:r>
            <w:r w:rsidR="00FB1D12" w:rsidRPr="00107624">
              <w:rPr>
                <w:rFonts w:cs="Times New Roman"/>
                <w:iCs/>
                <w:szCs w:val="24"/>
                <w:lang w:val="ro-RO"/>
              </w:rPr>
              <w:t xml:space="preserve">întreprindere </w:t>
            </w:r>
            <w:r w:rsidR="00270CA3" w:rsidRPr="00107624">
              <w:rPr>
                <w:rFonts w:cs="Times New Roman"/>
                <w:iCs/>
                <w:szCs w:val="24"/>
                <w:lang w:val="ro-RO"/>
              </w:rPr>
              <w:t>aflată în dificultate,</w:t>
            </w:r>
            <w:r w:rsidR="0082538B" w:rsidRPr="00107624">
              <w:rPr>
                <w:rFonts w:cs="Times New Roman"/>
                <w:iCs/>
                <w:szCs w:val="24"/>
                <w:lang w:val="ro-RO"/>
              </w:rPr>
              <w:t xml:space="preserve"> </w:t>
            </w:r>
            <w:r w:rsidR="00112CF5" w:rsidRPr="00107624">
              <w:rPr>
                <w:rFonts w:cs="Times New Roman"/>
                <w:iCs/>
                <w:szCs w:val="24"/>
                <w:lang w:val="ro-RO"/>
              </w:rPr>
              <w:t>astfel cum este definit</w:t>
            </w:r>
            <w:r w:rsidR="00D603BC" w:rsidRPr="00107624">
              <w:rPr>
                <w:rFonts w:cs="Times New Roman"/>
                <w:iCs/>
                <w:szCs w:val="24"/>
                <w:lang w:val="ro-RO"/>
              </w:rPr>
              <w:t>ă</w:t>
            </w:r>
            <w:r w:rsidR="00112CF5" w:rsidRPr="00107624">
              <w:rPr>
                <w:rFonts w:cs="Times New Roman"/>
                <w:iCs/>
                <w:szCs w:val="24"/>
                <w:lang w:val="ro-RO"/>
              </w:rPr>
              <w:t xml:space="preserve"> la</w:t>
            </w:r>
            <w:r w:rsidR="0082538B" w:rsidRPr="00107624">
              <w:rPr>
                <w:rFonts w:cs="Times New Roman"/>
                <w:iCs/>
                <w:szCs w:val="24"/>
                <w:lang w:val="ro-RO"/>
              </w:rPr>
              <w:t xml:space="preserve"> </w:t>
            </w:r>
            <w:r w:rsidR="001B0957" w:rsidRPr="00107624">
              <w:rPr>
                <w:rFonts w:cs="Times New Roman"/>
                <w:iCs/>
                <w:szCs w:val="24"/>
                <w:lang w:val="ro-RO"/>
              </w:rPr>
              <w:t xml:space="preserve">articolul 2, alin 18 din </w:t>
            </w:r>
            <w:r w:rsidR="00884EF0" w:rsidRPr="00107624">
              <w:rPr>
                <w:rFonts w:cs="Times New Roman"/>
                <w:iCs/>
                <w:szCs w:val="24"/>
                <w:lang w:val="ro-RO"/>
              </w:rPr>
              <w:t xml:space="preserve"> Regulamentul (UE) nr. 651/2014 de declarare a anumitor categorii de ajutoare compatibile cu piața internă în aplicarea articolelor 107 și 108 din tratat, cu modific</w:t>
            </w:r>
            <w:r w:rsidR="00884EF0" w:rsidRPr="00107624">
              <w:rPr>
                <w:rFonts w:cs="Times New Roman" w:hint="eastAsia"/>
                <w:iCs/>
                <w:szCs w:val="24"/>
                <w:lang w:val="ro-RO"/>
              </w:rPr>
              <w:t>ă</w:t>
            </w:r>
            <w:r w:rsidR="00884EF0" w:rsidRPr="00107624">
              <w:rPr>
                <w:rFonts w:cs="Times New Roman"/>
                <w:iCs/>
                <w:szCs w:val="24"/>
                <w:lang w:val="ro-RO"/>
              </w:rPr>
              <w:t>rile și complet</w:t>
            </w:r>
            <w:r w:rsidR="00884EF0" w:rsidRPr="00107624">
              <w:rPr>
                <w:rFonts w:cs="Times New Roman" w:hint="eastAsia"/>
                <w:iCs/>
                <w:szCs w:val="24"/>
                <w:lang w:val="ro-RO"/>
              </w:rPr>
              <w:t>ă</w:t>
            </w:r>
            <w:r w:rsidR="006F5483">
              <w:rPr>
                <w:rFonts w:cs="Times New Roman"/>
                <w:iCs/>
                <w:szCs w:val="24"/>
                <w:lang w:val="ro-RO"/>
              </w:rPr>
              <w:t xml:space="preserve">rile ulterioare. </w:t>
            </w:r>
            <w:r w:rsidR="00195D58">
              <w:rPr>
                <w:rFonts w:cs="Times New Roman"/>
                <w:iCs/>
                <w:szCs w:val="24"/>
                <w:lang w:val="ro-RO"/>
              </w:rPr>
              <w:t>Informațiile se vor corela cu alte anexe relevante din ghidul specific.</w:t>
            </w:r>
          </w:p>
        </w:tc>
      </w:tr>
    </w:tbl>
    <w:p w14:paraId="2D94BA9F" w14:textId="4D8D1AA0" w:rsidR="00D90E91" w:rsidRPr="00107624" w:rsidRDefault="00B6615F" w:rsidP="008C26EA">
      <w:pPr>
        <w:pStyle w:val="ListParagraph"/>
        <w:numPr>
          <w:ilvl w:val="0"/>
          <w:numId w:val="13"/>
        </w:numPr>
        <w:shd w:val="clear" w:color="auto" w:fill="FFFFFF"/>
        <w:spacing w:before="100" w:beforeAutospacing="1" w:after="100" w:afterAutospacing="1" w:line="240" w:lineRule="auto"/>
        <w:jc w:val="both"/>
        <w:rPr>
          <w:rFonts w:cs="Times New Roman"/>
          <w:b/>
          <w:iCs/>
          <w:noProof/>
          <w:szCs w:val="24"/>
          <w:u w:val="single"/>
          <w:lang w:val="ro-RO"/>
        </w:rPr>
      </w:pPr>
      <w:r w:rsidRPr="00107624">
        <w:rPr>
          <w:rFonts w:cs="Times New Roman"/>
          <w:b/>
          <w:iCs/>
          <w:noProof/>
          <w:szCs w:val="24"/>
          <w:u w:val="single"/>
          <w:lang w:val="ro-RO"/>
        </w:rPr>
        <w:t>Art.</w:t>
      </w:r>
      <w:r w:rsidR="00005D21">
        <w:rPr>
          <w:rFonts w:cs="Times New Roman"/>
          <w:b/>
          <w:iCs/>
          <w:noProof/>
          <w:szCs w:val="24"/>
          <w:u w:val="single"/>
          <w:lang w:val="ro-RO"/>
        </w:rPr>
        <w:t xml:space="preserve"> </w:t>
      </w:r>
      <w:r w:rsidRPr="00107624">
        <w:rPr>
          <w:rFonts w:cs="Times New Roman"/>
          <w:b/>
          <w:iCs/>
          <w:noProof/>
          <w:szCs w:val="24"/>
          <w:u w:val="single"/>
          <w:lang w:val="ro-RO"/>
        </w:rPr>
        <w:t>2</w:t>
      </w:r>
      <w:r w:rsidR="00D90E91" w:rsidRPr="00107624">
        <w:rPr>
          <w:rFonts w:cs="Times New Roman"/>
          <w:b/>
          <w:iCs/>
          <w:noProof/>
          <w:szCs w:val="24"/>
          <w:u w:val="single"/>
          <w:lang w:val="ro-RO"/>
        </w:rPr>
        <w:t xml:space="preserve"> Demararea lucrărilor</w:t>
      </w:r>
    </w:p>
    <w:tbl>
      <w:tblPr>
        <w:tblStyle w:val="TableGrid"/>
        <w:tblW w:w="10031" w:type="dxa"/>
        <w:tblLook w:val="04A0" w:firstRow="1" w:lastRow="0" w:firstColumn="1" w:lastColumn="0" w:noHBand="0" w:noVBand="1"/>
      </w:tblPr>
      <w:tblGrid>
        <w:gridCol w:w="10031"/>
      </w:tblGrid>
      <w:tr w:rsidR="00107624" w:rsidRPr="00107624" w14:paraId="347EAAD3" w14:textId="77777777" w:rsidTr="008C26EA">
        <w:tc>
          <w:tcPr>
            <w:tcW w:w="10031" w:type="dxa"/>
          </w:tcPr>
          <w:p w14:paraId="3A8FAA22" w14:textId="56EAE97E" w:rsidR="00D90E91" w:rsidRPr="00107624" w:rsidRDefault="00D90E91" w:rsidP="00191C51">
            <w:pPr>
              <w:autoSpaceDE w:val="0"/>
              <w:autoSpaceDN w:val="0"/>
              <w:adjustRightInd w:val="0"/>
              <w:jc w:val="both"/>
              <w:rPr>
                <w:rFonts w:eastAsia="Times New Roman" w:cs="Times New Roman"/>
                <w:iCs/>
                <w:szCs w:val="24"/>
                <w:lang w:val="ro-RO" w:eastAsia="ro-RO"/>
              </w:rPr>
            </w:pPr>
            <w:r w:rsidRPr="00107624">
              <w:rPr>
                <w:rFonts w:eastAsia="Times New Roman" w:cs="Times New Roman"/>
                <w:iCs/>
                <w:szCs w:val="24"/>
                <w:lang w:val="ro-RO" w:eastAsia="ro-RO"/>
              </w:rPr>
              <w:t xml:space="preserve">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w:t>
            </w:r>
            <w:r w:rsidR="00930FF6" w:rsidRPr="00107624">
              <w:rPr>
                <w:rFonts w:eastAsia="Times New Roman" w:cs="Times New Roman"/>
                <w:iCs/>
                <w:szCs w:val="24"/>
                <w:lang w:val="ro-RO" w:eastAsia="ro-RO"/>
              </w:rPr>
              <w:t>Obținerea</w:t>
            </w:r>
            <w:r w:rsidRPr="00107624">
              <w:rPr>
                <w:rFonts w:eastAsia="Times New Roman" w:cs="Times New Roman"/>
                <w:iCs/>
                <w:szCs w:val="24"/>
                <w:lang w:val="ro-RO" w:eastAsia="ro-RO"/>
              </w:rPr>
              <w:t xml:space="preserve"> de terenuri și lucrările pregătitoare, cum ar fi obținerea </w:t>
            </w:r>
            <w:r w:rsidR="00930FF6" w:rsidRPr="00107624">
              <w:rPr>
                <w:rFonts w:eastAsia="Calibri" w:cs="Times New Roman"/>
                <w:szCs w:val="24"/>
                <w:lang w:val="ro-RO"/>
              </w:rPr>
              <w:t>avizelor/autorizatiilor</w:t>
            </w:r>
            <w:r w:rsidRPr="00107624">
              <w:rPr>
                <w:rFonts w:eastAsia="Times New Roman" w:cs="Times New Roman"/>
                <w:iCs/>
                <w:szCs w:val="24"/>
                <w:lang w:val="ro-RO" w:eastAsia="ro-RO"/>
              </w:rPr>
              <w:t xml:space="preserve"> și realizarea studiilor de fezabilitate, nu sunt considera</w:t>
            </w:r>
            <w:r w:rsidR="0008341B" w:rsidRPr="00107624">
              <w:rPr>
                <w:rFonts w:eastAsia="Times New Roman" w:cs="Times New Roman"/>
                <w:iCs/>
                <w:szCs w:val="24"/>
                <w:lang w:val="ro-RO" w:eastAsia="ro-RO"/>
              </w:rPr>
              <w:t xml:space="preserve">te drept demarare a lucrărilor </w:t>
            </w:r>
            <w:r w:rsidR="00195D58">
              <w:rPr>
                <w:rFonts w:eastAsia="Times New Roman" w:cs="Times New Roman"/>
                <w:iCs/>
                <w:szCs w:val="24"/>
                <w:lang w:val="ro-RO" w:eastAsia="ro-RO"/>
              </w:rPr>
              <w:t>și</w:t>
            </w:r>
            <w:r w:rsidR="0008341B" w:rsidRPr="00107624">
              <w:rPr>
                <w:rFonts w:eastAsia="Times New Roman" w:cs="Times New Roman"/>
                <w:iCs/>
                <w:szCs w:val="24"/>
                <w:lang w:val="ro-RO" w:eastAsia="ro-RO"/>
              </w:rPr>
              <w:t xml:space="preserve"> nu sunt cheltuieli eligibile </w:t>
            </w:r>
            <w:r w:rsidR="00E6278D">
              <w:rPr>
                <w:rFonts w:eastAsia="Times New Roman" w:cs="Times New Roman"/>
                <w:iCs/>
                <w:szCs w:val="24"/>
                <w:lang w:val="ro-RO" w:eastAsia="ro-RO"/>
              </w:rPr>
              <w:t>în cadrul schemei de ajutor de stat</w:t>
            </w:r>
            <w:r w:rsidR="0008341B" w:rsidRPr="00107624">
              <w:rPr>
                <w:rFonts w:eastAsia="Times New Roman" w:cs="Times New Roman"/>
                <w:iCs/>
                <w:szCs w:val="24"/>
                <w:lang w:val="ro-RO" w:eastAsia="ro-RO"/>
              </w:rPr>
              <w:t>.</w:t>
            </w:r>
            <w:r w:rsidR="00191C51">
              <w:rPr>
                <w:rFonts w:eastAsia="Times New Roman" w:cs="Times New Roman"/>
                <w:iCs/>
                <w:szCs w:val="24"/>
                <w:lang w:val="ro-RO" w:eastAsia="ro-RO"/>
              </w:rPr>
              <w:t xml:space="preserve"> A</w:t>
            </w:r>
            <w:r w:rsidR="00191C51" w:rsidRPr="007F0A02">
              <w:rPr>
                <w:rFonts w:eastAsia="Times New Roman" w:cs="Times New Roman"/>
                <w:iCs/>
                <w:szCs w:val="24"/>
                <w:lang w:val="ro-RO" w:eastAsia="ro-RO"/>
              </w:rPr>
              <w:t xml:space="preserve">ctivitatile ce constituie “demararea lucrărilor” nu </w:t>
            </w:r>
            <w:r w:rsidR="00191C51">
              <w:rPr>
                <w:rFonts w:eastAsia="Times New Roman" w:cs="Times New Roman"/>
                <w:iCs/>
                <w:szCs w:val="24"/>
                <w:lang w:val="ro-RO" w:eastAsia="ro-RO"/>
              </w:rPr>
              <w:t xml:space="preserve">pot fi </w:t>
            </w:r>
            <w:r w:rsidR="00191C51" w:rsidRPr="007F0A02">
              <w:rPr>
                <w:rFonts w:eastAsia="Times New Roman" w:cs="Times New Roman"/>
                <w:iCs/>
                <w:szCs w:val="24"/>
                <w:lang w:val="ro-RO" w:eastAsia="ro-RO"/>
              </w:rPr>
              <w:t xml:space="preserve">începute înainte de depunerea de </w:t>
            </w:r>
            <w:r w:rsidR="00EB17C5" w:rsidRPr="007F0A02">
              <w:rPr>
                <w:rFonts w:eastAsia="Times New Roman" w:cs="Times New Roman"/>
                <w:iCs/>
                <w:szCs w:val="24"/>
                <w:lang w:val="ro-RO" w:eastAsia="ro-RO"/>
              </w:rPr>
              <w:t>c</w:t>
            </w:r>
            <w:r w:rsidR="00EB17C5">
              <w:rPr>
                <w:rFonts w:eastAsia="Times New Roman" w:cs="Times New Roman"/>
                <w:iCs/>
                <w:szCs w:val="24"/>
                <w:lang w:val="ro-RO" w:eastAsia="ro-RO"/>
              </w:rPr>
              <w:t>ă</w:t>
            </w:r>
            <w:r w:rsidR="00EB17C5" w:rsidRPr="007F0A02">
              <w:rPr>
                <w:rFonts w:eastAsia="Times New Roman" w:cs="Times New Roman"/>
                <w:iCs/>
                <w:szCs w:val="24"/>
                <w:lang w:val="ro-RO" w:eastAsia="ro-RO"/>
              </w:rPr>
              <w:t xml:space="preserve">tre </w:t>
            </w:r>
            <w:r w:rsidR="00191C51" w:rsidRPr="007F0A02">
              <w:rPr>
                <w:rFonts w:eastAsia="Times New Roman" w:cs="Times New Roman"/>
                <w:iCs/>
                <w:szCs w:val="24"/>
                <w:lang w:val="ro-RO" w:eastAsia="ro-RO"/>
              </w:rPr>
              <w:t xml:space="preserve">solicitant </w:t>
            </w:r>
            <w:r w:rsidR="007B71FF">
              <w:rPr>
                <w:rFonts w:eastAsia="Times New Roman" w:cs="Times New Roman"/>
                <w:iCs/>
                <w:szCs w:val="24"/>
                <w:lang w:val="ro-RO" w:eastAsia="ro-RO"/>
              </w:rPr>
              <w:t xml:space="preserve">a </w:t>
            </w:r>
            <w:r w:rsidR="00191C51" w:rsidRPr="007F0A02">
              <w:rPr>
                <w:rFonts w:eastAsia="Times New Roman" w:cs="Times New Roman"/>
                <w:iCs/>
                <w:szCs w:val="24"/>
                <w:lang w:val="ro-RO" w:eastAsia="ro-RO"/>
              </w:rPr>
              <w:t>cererii de finanțare în cadrul apelului competitiv. In caz contrar, întreg proiectul nu este eligibil</w:t>
            </w:r>
            <w:r w:rsidR="00326AA7">
              <w:rPr>
                <w:rFonts w:eastAsia="Times New Roman" w:cs="Times New Roman"/>
                <w:iCs/>
                <w:szCs w:val="24"/>
                <w:lang w:val="ro-RO" w:eastAsia="ro-RO"/>
              </w:rPr>
              <w:t xml:space="preserve"> pentru a primi finan</w:t>
            </w:r>
            <w:r w:rsidR="007B71FF">
              <w:rPr>
                <w:rFonts w:eastAsia="Times New Roman" w:cs="Times New Roman"/>
                <w:iCs/>
                <w:szCs w:val="24"/>
                <w:lang w:val="ro-RO" w:eastAsia="ro-RO"/>
              </w:rPr>
              <w:t>ț</w:t>
            </w:r>
            <w:r w:rsidR="00326AA7">
              <w:rPr>
                <w:rFonts w:eastAsia="Times New Roman" w:cs="Times New Roman"/>
                <w:iCs/>
                <w:szCs w:val="24"/>
                <w:lang w:val="ro-RO" w:eastAsia="ro-RO"/>
              </w:rPr>
              <w:t xml:space="preserve">are </w:t>
            </w:r>
            <w:r w:rsidR="007B71FF">
              <w:rPr>
                <w:rFonts w:eastAsia="Times New Roman" w:cs="Times New Roman"/>
                <w:iCs/>
                <w:szCs w:val="24"/>
                <w:lang w:val="ro-RO" w:eastAsia="ro-RO"/>
              </w:rPr>
              <w:t>î</w:t>
            </w:r>
            <w:r w:rsidR="00326AA7">
              <w:rPr>
                <w:rFonts w:eastAsia="Times New Roman" w:cs="Times New Roman"/>
                <w:iCs/>
                <w:szCs w:val="24"/>
                <w:lang w:val="ro-RO" w:eastAsia="ro-RO"/>
              </w:rPr>
              <w:t>n cadrul schemei de ajutor de stat</w:t>
            </w:r>
            <w:r w:rsidR="00191C51">
              <w:rPr>
                <w:rFonts w:eastAsia="Times New Roman" w:cs="Times New Roman"/>
                <w:iCs/>
                <w:szCs w:val="24"/>
                <w:lang w:val="ro-RO" w:eastAsia="ro-RO"/>
              </w:rPr>
              <w:t>.</w:t>
            </w:r>
          </w:p>
        </w:tc>
      </w:tr>
      <w:tr w:rsidR="00D90E91" w:rsidRPr="00107624" w14:paraId="0D8CDF37" w14:textId="77777777" w:rsidTr="008C26EA">
        <w:tc>
          <w:tcPr>
            <w:tcW w:w="10031" w:type="dxa"/>
          </w:tcPr>
          <w:p w14:paraId="25858004" w14:textId="7C284930" w:rsidR="00E77C31" w:rsidRPr="00107624" w:rsidRDefault="00D90E91" w:rsidP="007216FF">
            <w:pPr>
              <w:shd w:val="clear" w:color="auto" w:fill="FFFFFF"/>
              <w:spacing w:before="120"/>
              <w:jc w:val="both"/>
              <w:rPr>
                <w:rFonts w:eastAsia="Times New Roman" w:cs="Times New Roman"/>
                <w:iCs/>
                <w:szCs w:val="24"/>
                <w:lang w:val="ro-RO" w:eastAsia="ro-RO"/>
              </w:rPr>
            </w:pPr>
            <w:r w:rsidRPr="00107624">
              <w:rPr>
                <w:rFonts w:eastAsia="Times New Roman" w:cs="Times New Roman"/>
                <w:iCs/>
                <w:szCs w:val="24"/>
                <w:lang w:val="ro-RO" w:eastAsia="ro-RO"/>
              </w:rPr>
              <w:lastRenderedPageBreak/>
              <w:t>Se va de</w:t>
            </w:r>
            <w:r w:rsidR="007216FF">
              <w:rPr>
                <w:rFonts w:eastAsia="Times New Roman" w:cs="Times New Roman"/>
                <w:iCs/>
                <w:szCs w:val="24"/>
                <w:lang w:val="ro-RO" w:eastAsia="ro-RO"/>
              </w:rPr>
              <w:t>clara dacă</w:t>
            </w:r>
            <w:r w:rsidR="007B71FF">
              <w:rPr>
                <w:rFonts w:eastAsia="Times New Roman" w:cs="Times New Roman"/>
                <w:iCs/>
                <w:szCs w:val="24"/>
                <w:lang w:val="ro-RO" w:eastAsia="ro-RO"/>
              </w:rPr>
              <w:t xml:space="preserve"> </w:t>
            </w:r>
            <w:r w:rsidR="007216FF">
              <w:rPr>
                <w:rFonts w:eastAsia="Times New Roman" w:cs="Times New Roman"/>
                <w:iCs/>
                <w:szCs w:val="24"/>
                <w:lang w:val="ro-RO" w:eastAsia="ro-RO"/>
              </w:rPr>
              <w:t>a</w:t>
            </w:r>
            <w:r w:rsidR="007216FF" w:rsidRPr="007216FF">
              <w:rPr>
                <w:rFonts w:eastAsia="Times New Roman" w:cs="Times New Roman"/>
                <w:iCs/>
                <w:szCs w:val="24"/>
                <w:lang w:val="ro-RO" w:eastAsia="ro-RO"/>
              </w:rPr>
              <w:t>ctivit</w:t>
            </w:r>
            <w:r w:rsidR="007B71FF">
              <w:rPr>
                <w:rFonts w:eastAsia="Times New Roman" w:cs="Times New Roman"/>
                <w:iCs/>
                <w:szCs w:val="24"/>
                <w:lang w:val="ro-RO" w:eastAsia="ro-RO"/>
              </w:rPr>
              <w:t>ăț</w:t>
            </w:r>
            <w:r w:rsidR="007216FF" w:rsidRPr="007216FF">
              <w:rPr>
                <w:rFonts w:eastAsia="Times New Roman" w:cs="Times New Roman"/>
                <w:iCs/>
                <w:szCs w:val="24"/>
                <w:lang w:val="ro-RO" w:eastAsia="ro-RO"/>
              </w:rPr>
              <w:t xml:space="preserve">ile ce constituie “demararea lucrărilor” </w:t>
            </w:r>
            <w:r w:rsidR="007216FF">
              <w:rPr>
                <w:rFonts w:eastAsia="Times New Roman" w:cs="Times New Roman"/>
                <w:iCs/>
                <w:szCs w:val="24"/>
                <w:lang w:val="ro-RO" w:eastAsia="ro-RO"/>
              </w:rPr>
              <w:t>au</w:t>
            </w:r>
            <w:r w:rsidR="007216FF" w:rsidRPr="007216FF">
              <w:rPr>
                <w:rFonts w:eastAsia="Times New Roman" w:cs="Times New Roman"/>
                <w:iCs/>
                <w:szCs w:val="24"/>
                <w:lang w:val="ro-RO" w:eastAsia="ro-RO"/>
              </w:rPr>
              <w:t xml:space="preserve"> f</w:t>
            </w:r>
            <w:r w:rsidR="007216FF">
              <w:rPr>
                <w:rFonts w:eastAsia="Times New Roman" w:cs="Times New Roman"/>
                <w:iCs/>
                <w:szCs w:val="24"/>
                <w:lang w:val="ro-RO" w:eastAsia="ro-RO"/>
              </w:rPr>
              <w:t>ost</w:t>
            </w:r>
            <w:r w:rsidR="007216FF" w:rsidRPr="007216FF">
              <w:rPr>
                <w:rFonts w:eastAsia="Times New Roman" w:cs="Times New Roman"/>
                <w:iCs/>
                <w:szCs w:val="24"/>
                <w:lang w:val="ro-RO" w:eastAsia="ro-RO"/>
              </w:rPr>
              <w:t xml:space="preserve"> începute înainte de depunerea de c</w:t>
            </w:r>
            <w:r w:rsidR="007B71FF">
              <w:rPr>
                <w:rFonts w:eastAsia="Times New Roman" w:cs="Times New Roman"/>
                <w:iCs/>
                <w:szCs w:val="24"/>
                <w:lang w:val="ro-RO" w:eastAsia="ro-RO"/>
              </w:rPr>
              <w:t>ă</w:t>
            </w:r>
            <w:r w:rsidR="007216FF" w:rsidRPr="007216FF">
              <w:rPr>
                <w:rFonts w:eastAsia="Times New Roman" w:cs="Times New Roman"/>
                <w:iCs/>
                <w:szCs w:val="24"/>
                <w:lang w:val="ro-RO" w:eastAsia="ro-RO"/>
              </w:rPr>
              <w:t xml:space="preserve">tre solicitant </w:t>
            </w:r>
            <w:r w:rsidR="007B71FF">
              <w:rPr>
                <w:rFonts w:eastAsia="Times New Roman" w:cs="Times New Roman"/>
                <w:iCs/>
                <w:szCs w:val="24"/>
                <w:lang w:val="ro-RO" w:eastAsia="ro-RO"/>
              </w:rPr>
              <w:t xml:space="preserve">a </w:t>
            </w:r>
            <w:r w:rsidR="007216FF" w:rsidRPr="007216FF">
              <w:rPr>
                <w:rFonts w:eastAsia="Times New Roman" w:cs="Times New Roman"/>
                <w:iCs/>
                <w:szCs w:val="24"/>
                <w:lang w:val="ro-RO" w:eastAsia="ro-RO"/>
              </w:rPr>
              <w:t>cererii de finanțare în cadrul apelului competitiv</w:t>
            </w:r>
            <w:r w:rsidR="007216FF" w:rsidRPr="007216FF" w:rsidDel="007216FF">
              <w:rPr>
                <w:rFonts w:eastAsia="Times New Roman" w:cs="Times New Roman"/>
                <w:iCs/>
                <w:szCs w:val="24"/>
                <w:lang w:val="ro-RO" w:eastAsia="ro-RO"/>
              </w:rPr>
              <w:t xml:space="preserve"> </w:t>
            </w:r>
            <w:r w:rsidR="00D53032" w:rsidRPr="00107624">
              <w:rPr>
                <w:rFonts w:eastAsia="Times New Roman" w:cs="Times New Roman"/>
                <w:iCs/>
                <w:szCs w:val="24"/>
                <w:lang w:val="ro-RO" w:eastAsia="ro-RO"/>
              </w:rPr>
              <w:t xml:space="preserve">la </w:t>
            </w:r>
            <w:r w:rsidR="002A75EC" w:rsidRPr="00107624">
              <w:rPr>
                <w:rFonts w:eastAsia="Times New Roman" w:cs="Times New Roman"/>
                <w:iCs/>
                <w:szCs w:val="24"/>
                <w:lang w:val="ro-RO" w:eastAsia="ro-RO"/>
              </w:rPr>
              <w:t>Ministerul Energiei</w:t>
            </w:r>
            <w:r w:rsidR="003A3224" w:rsidRPr="00107624">
              <w:rPr>
                <w:rFonts w:eastAsia="Times New Roman" w:cs="Times New Roman"/>
                <w:iCs/>
                <w:szCs w:val="24"/>
                <w:lang w:val="ro-RO" w:eastAsia="ro-RO"/>
              </w:rPr>
              <w:t xml:space="preserve">. </w:t>
            </w:r>
          </w:p>
        </w:tc>
      </w:tr>
    </w:tbl>
    <w:p w14:paraId="705BF893" w14:textId="77777777" w:rsidR="00A73FDA" w:rsidRDefault="00A73FDA" w:rsidP="00D329E9">
      <w:pPr>
        <w:shd w:val="clear" w:color="auto" w:fill="FFFFFF"/>
        <w:spacing w:after="0" w:line="240" w:lineRule="auto"/>
        <w:jc w:val="both"/>
        <w:rPr>
          <w:rFonts w:cs="Times New Roman"/>
          <w:b/>
          <w:noProof/>
          <w:szCs w:val="24"/>
          <w:u w:val="single"/>
          <w:lang w:val="ro-RO"/>
        </w:rPr>
      </w:pPr>
    </w:p>
    <w:p w14:paraId="5FED4E08" w14:textId="77777777" w:rsidR="006F66E6" w:rsidRPr="00107624" w:rsidRDefault="006F66E6" w:rsidP="00D329E9">
      <w:pPr>
        <w:shd w:val="clear" w:color="auto" w:fill="FFFFFF"/>
        <w:spacing w:after="0" w:line="240" w:lineRule="auto"/>
        <w:jc w:val="both"/>
        <w:rPr>
          <w:rFonts w:cs="Times New Roman"/>
          <w:b/>
          <w:noProof/>
          <w:szCs w:val="24"/>
          <w:u w:val="single"/>
          <w:lang w:val="ro-RO"/>
        </w:rPr>
      </w:pPr>
    </w:p>
    <w:p w14:paraId="135C1711" w14:textId="58040000" w:rsidR="00C456E8" w:rsidRPr="00107624" w:rsidRDefault="00903B0F" w:rsidP="008C26EA">
      <w:pPr>
        <w:pStyle w:val="ListParagraph"/>
        <w:numPr>
          <w:ilvl w:val="0"/>
          <w:numId w:val="12"/>
        </w:numPr>
        <w:shd w:val="clear" w:color="auto" w:fill="FFFFFF"/>
        <w:spacing w:after="0" w:line="240" w:lineRule="auto"/>
        <w:jc w:val="both"/>
        <w:rPr>
          <w:rFonts w:cs="Times New Roman"/>
          <w:b/>
          <w:i/>
          <w:noProof/>
          <w:szCs w:val="24"/>
          <w:u w:val="single"/>
          <w:lang w:val="ro-RO"/>
        </w:rPr>
      </w:pPr>
      <w:r w:rsidRPr="00107624">
        <w:rPr>
          <w:rFonts w:cs="Times New Roman"/>
          <w:b/>
          <w:noProof/>
          <w:szCs w:val="24"/>
          <w:u w:val="single"/>
          <w:lang w:val="ro-RO"/>
        </w:rPr>
        <w:t>Art 3</w:t>
      </w:r>
      <w:r w:rsidR="00C456E8" w:rsidRPr="00107624">
        <w:rPr>
          <w:rFonts w:cs="Times New Roman"/>
          <w:b/>
          <w:noProof/>
          <w:szCs w:val="24"/>
          <w:u w:val="single"/>
          <w:lang w:val="ro-RO"/>
        </w:rPr>
        <w:t>. Praguri de notificare</w:t>
      </w:r>
    </w:p>
    <w:p w14:paraId="4EED9DCC" w14:textId="77777777" w:rsidR="00DF74B5" w:rsidRPr="00107624" w:rsidRDefault="00DF74B5" w:rsidP="00D329E9">
      <w:pPr>
        <w:shd w:val="clear" w:color="auto" w:fill="FFFFFF"/>
        <w:spacing w:after="0" w:line="240" w:lineRule="auto"/>
        <w:jc w:val="both"/>
        <w:rPr>
          <w:rFonts w:cs="Times New Roman"/>
          <w:b/>
          <w:noProof/>
          <w:szCs w:val="24"/>
          <w:lang w:val="ro-RO"/>
        </w:rPr>
      </w:pPr>
    </w:p>
    <w:tbl>
      <w:tblPr>
        <w:tblStyle w:val="TableGrid"/>
        <w:tblpPr w:leftFromText="180" w:rightFromText="180" w:vertAnchor="text" w:tblpY="-15"/>
        <w:tblW w:w="10031" w:type="dxa"/>
        <w:tblLook w:val="04A0" w:firstRow="1" w:lastRow="0" w:firstColumn="1" w:lastColumn="0" w:noHBand="0" w:noVBand="1"/>
      </w:tblPr>
      <w:tblGrid>
        <w:gridCol w:w="10031"/>
      </w:tblGrid>
      <w:tr w:rsidR="00107624" w:rsidRPr="00107624" w14:paraId="69662CD2" w14:textId="77777777" w:rsidTr="008C26EA">
        <w:trPr>
          <w:trHeight w:val="1390"/>
        </w:trPr>
        <w:tc>
          <w:tcPr>
            <w:tcW w:w="10031" w:type="dxa"/>
          </w:tcPr>
          <w:p w14:paraId="0076305A" w14:textId="2F2A42A1" w:rsidR="00195D58" w:rsidRDefault="006A3CEA" w:rsidP="003A6D6F">
            <w:pPr>
              <w:shd w:val="clear" w:color="auto" w:fill="FFFFFF"/>
              <w:jc w:val="both"/>
              <w:rPr>
                <w:rFonts w:cs="Times New Roman"/>
                <w:szCs w:val="24"/>
              </w:rPr>
            </w:pPr>
            <w:proofErr w:type="spellStart"/>
            <w:r>
              <w:rPr>
                <w:rFonts w:cs="Times New Roman"/>
                <w:szCs w:val="24"/>
              </w:rPr>
              <w:t>Ajutorul</w:t>
            </w:r>
            <w:proofErr w:type="spellEnd"/>
            <w:r>
              <w:rPr>
                <w:rFonts w:cs="Times New Roman"/>
                <w:szCs w:val="24"/>
              </w:rPr>
              <w:t xml:space="preserve"> de stat </w:t>
            </w:r>
            <w:proofErr w:type="spellStart"/>
            <w:r>
              <w:rPr>
                <w:rFonts w:cs="Times New Roman"/>
                <w:szCs w:val="24"/>
              </w:rPr>
              <w:t>obținut</w:t>
            </w:r>
            <w:proofErr w:type="spellEnd"/>
            <w:r>
              <w:rPr>
                <w:rFonts w:cs="Times New Roman"/>
                <w:szCs w:val="24"/>
              </w:rPr>
              <w:t xml:space="preserve"> din </w:t>
            </w:r>
            <w:proofErr w:type="spellStart"/>
            <w:r>
              <w:rPr>
                <w:rFonts w:cs="Times New Roman"/>
                <w:szCs w:val="24"/>
              </w:rPr>
              <w:t>prezenta</w:t>
            </w:r>
            <w:proofErr w:type="spellEnd"/>
            <w:r>
              <w:rPr>
                <w:rFonts w:cs="Times New Roman"/>
                <w:szCs w:val="24"/>
              </w:rPr>
              <w:t xml:space="preserve"> </w:t>
            </w:r>
            <w:proofErr w:type="spellStart"/>
            <w:r>
              <w:rPr>
                <w:rFonts w:cs="Times New Roman"/>
                <w:szCs w:val="24"/>
              </w:rPr>
              <w:t>măsură</w:t>
            </w:r>
            <w:proofErr w:type="spellEnd"/>
            <w:r>
              <w:rPr>
                <w:rFonts w:cs="Times New Roman"/>
                <w:szCs w:val="24"/>
              </w:rPr>
              <w:t xml:space="preserve">, </w:t>
            </w:r>
            <w:proofErr w:type="spellStart"/>
            <w:r>
              <w:rPr>
                <w:rFonts w:cs="Times New Roman"/>
                <w:szCs w:val="24"/>
              </w:rPr>
              <w:t>evaluat</w:t>
            </w:r>
            <w:proofErr w:type="spellEnd"/>
            <w:r>
              <w:rPr>
                <w:rFonts w:cs="Times New Roman"/>
                <w:szCs w:val="24"/>
              </w:rPr>
              <w:t xml:space="preserve"> la </w:t>
            </w:r>
            <w:proofErr w:type="spellStart"/>
            <w:r>
              <w:rPr>
                <w:rFonts w:cs="Times New Roman"/>
                <w:szCs w:val="24"/>
              </w:rPr>
              <w:t>nivelul</w:t>
            </w:r>
            <w:proofErr w:type="spellEnd"/>
            <w:r>
              <w:rPr>
                <w:rFonts w:cs="Times New Roman"/>
                <w:szCs w:val="24"/>
              </w:rPr>
              <w:t xml:space="preserve"> </w:t>
            </w:r>
            <w:proofErr w:type="spellStart"/>
            <w:r>
              <w:rPr>
                <w:rFonts w:cs="Times New Roman"/>
                <w:szCs w:val="24"/>
              </w:rPr>
              <w:t>întreprinderii</w:t>
            </w:r>
            <w:proofErr w:type="spellEnd"/>
            <w:r>
              <w:rPr>
                <w:rFonts w:cs="Times New Roman"/>
                <w:szCs w:val="24"/>
              </w:rPr>
              <w:t xml:space="preserve">, nu se </w:t>
            </w:r>
            <w:proofErr w:type="spellStart"/>
            <w:r>
              <w:rPr>
                <w:rFonts w:cs="Times New Roman"/>
                <w:szCs w:val="24"/>
              </w:rPr>
              <w:t>cumulează</w:t>
            </w:r>
            <w:proofErr w:type="spellEnd"/>
            <w:r>
              <w:rPr>
                <w:rFonts w:cs="Times New Roman"/>
                <w:szCs w:val="24"/>
              </w:rPr>
              <w:t xml:space="preserve"> cu alt </w:t>
            </w:r>
            <w:proofErr w:type="spellStart"/>
            <w:r>
              <w:rPr>
                <w:rFonts w:cs="Times New Roman"/>
                <w:szCs w:val="24"/>
              </w:rPr>
              <w:t>ajutor</w:t>
            </w:r>
            <w:proofErr w:type="spellEnd"/>
            <w:r>
              <w:rPr>
                <w:rFonts w:cs="Times New Roman"/>
                <w:szCs w:val="24"/>
              </w:rPr>
              <w:t xml:space="preserve"> de stat </w:t>
            </w:r>
            <w:proofErr w:type="spellStart"/>
            <w:r>
              <w:rPr>
                <w:rFonts w:cs="Times New Roman"/>
                <w:szCs w:val="24"/>
              </w:rPr>
              <w:t>sau</w:t>
            </w:r>
            <w:proofErr w:type="spellEnd"/>
            <w:r>
              <w:rPr>
                <w:rFonts w:cs="Times New Roman"/>
                <w:szCs w:val="24"/>
              </w:rPr>
              <w:t xml:space="preserve"> de minimis</w:t>
            </w:r>
            <w:r w:rsidR="00EB17C5">
              <w:rPr>
                <w:rFonts w:cs="Times New Roman"/>
                <w:szCs w:val="24"/>
              </w:rPr>
              <w:t>,</w:t>
            </w:r>
            <w:r>
              <w:rPr>
                <w:rFonts w:cs="Times New Roman"/>
                <w:szCs w:val="24"/>
              </w:rPr>
              <w:t xml:space="preserve"> </w:t>
            </w:r>
            <w:proofErr w:type="spellStart"/>
            <w:r>
              <w:rPr>
                <w:rFonts w:cs="Times New Roman"/>
                <w:szCs w:val="24"/>
              </w:rPr>
              <w:t>obținute</w:t>
            </w:r>
            <w:proofErr w:type="spellEnd"/>
            <w:r>
              <w:rPr>
                <w:rFonts w:cs="Times New Roman"/>
                <w:szCs w:val="24"/>
              </w:rPr>
              <w:t xml:space="preserve"> la </w:t>
            </w:r>
            <w:proofErr w:type="spellStart"/>
            <w:r>
              <w:rPr>
                <w:rFonts w:cs="Times New Roman"/>
                <w:szCs w:val="24"/>
              </w:rPr>
              <w:t>momentul</w:t>
            </w:r>
            <w:proofErr w:type="spellEnd"/>
            <w:r>
              <w:rPr>
                <w:rFonts w:cs="Times New Roman"/>
                <w:szCs w:val="24"/>
              </w:rPr>
              <w:t xml:space="preserve"> </w:t>
            </w:r>
            <w:proofErr w:type="spellStart"/>
            <w:r>
              <w:rPr>
                <w:rFonts w:cs="Times New Roman"/>
                <w:szCs w:val="24"/>
              </w:rPr>
              <w:t>depunerii</w:t>
            </w:r>
            <w:proofErr w:type="spellEnd"/>
            <w:r>
              <w:rPr>
                <w:rFonts w:cs="Times New Roman"/>
                <w:szCs w:val="24"/>
              </w:rPr>
              <w:t xml:space="preserve"> </w:t>
            </w:r>
            <w:proofErr w:type="spellStart"/>
            <w:r>
              <w:rPr>
                <w:rFonts w:cs="Times New Roman"/>
                <w:szCs w:val="24"/>
              </w:rPr>
              <w:t>cererii</w:t>
            </w:r>
            <w:proofErr w:type="spellEnd"/>
            <w:r>
              <w:rPr>
                <w:rFonts w:cs="Times New Roman"/>
                <w:szCs w:val="24"/>
              </w:rPr>
              <w:t xml:space="preserve"> de </w:t>
            </w:r>
            <w:proofErr w:type="spellStart"/>
            <w:r>
              <w:rPr>
                <w:rFonts w:cs="Times New Roman"/>
                <w:szCs w:val="24"/>
              </w:rPr>
              <w:t>finanțare</w:t>
            </w:r>
            <w:proofErr w:type="spellEnd"/>
            <w:r w:rsidR="00195D58">
              <w:rPr>
                <w:rFonts w:cs="Times New Roman"/>
                <w:szCs w:val="24"/>
              </w:rPr>
              <w:t>.</w:t>
            </w:r>
          </w:p>
          <w:p w14:paraId="0CCB84E9" w14:textId="6D1B548C" w:rsidR="003A6D6F" w:rsidRPr="00107624" w:rsidRDefault="00EE534F" w:rsidP="003A6D6F">
            <w:pPr>
              <w:shd w:val="clear" w:color="auto" w:fill="FFFFFF"/>
              <w:jc w:val="both"/>
              <w:rPr>
                <w:rFonts w:cs="Times New Roman"/>
                <w:i/>
                <w:noProof/>
                <w:szCs w:val="24"/>
                <w:lang w:val="ro-RO"/>
              </w:rPr>
            </w:pPr>
            <w:proofErr w:type="spellStart"/>
            <w:r>
              <w:rPr>
                <w:rFonts w:cs="Times New Roman"/>
                <w:szCs w:val="24"/>
              </w:rPr>
              <w:t>V</w:t>
            </w:r>
            <w:r w:rsidR="003A6D6F" w:rsidRPr="00107624">
              <w:rPr>
                <w:rFonts w:cs="Times New Roman"/>
                <w:szCs w:val="24"/>
              </w:rPr>
              <w:t>aloarea</w:t>
            </w:r>
            <w:proofErr w:type="spellEnd"/>
            <w:r w:rsidR="00195D58">
              <w:rPr>
                <w:rFonts w:cs="Times New Roman"/>
                <w:szCs w:val="24"/>
              </w:rPr>
              <w:t xml:space="preserve"> </w:t>
            </w:r>
            <w:proofErr w:type="spellStart"/>
            <w:r w:rsidR="00195D58">
              <w:rPr>
                <w:rFonts w:cs="Times New Roman"/>
                <w:szCs w:val="24"/>
              </w:rPr>
              <w:t>maximă</w:t>
            </w:r>
            <w:proofErr w:type="spellEnd"/>
            <w:r w:rsidR="00195D58">
              <w:rPr>
                <w:rFonts w:cs="Times New Roman"/>
                <w:szCs w:val="24"/>
              </w:rPr>
              <w:t xml:space="preserve"> </w:t>
            </w:r>
            <w:proofErr w:type="gramStart"/>
            <w:r w:rsidR="00195D58">
              <w:rPr>
                <w:rFonts w:cs="Times New Roman"/>
                <w:szCs w:val="24"/>
              </w:rPr>
              <w:t>a</w:t>
            </w:r>
            <w:proofErr w:type="gramEnd"/>
            <w:r w:rsidR="003A6D6F" w:rsidRPr="00107624">
              <w:rPr>
                <w:rFonts w:cs="Times New Roman"/>
                <w:szCs w:val="24"/>
              </w:rPr>
              <w:t xml:space="preserve"> </w:t>
            </w:r>
            <w:proofErr w:type="spellStart"/>
            <w:r w:rsidR="003A6D6F" w:rsidRPr="00107624">
              <w:rPr>
                <w:rFonts w:cs="Times New Roman"/>
                <w:szCs w:val="24"/>
              </w:rPr>
              <w:t>ajutorului</w:t>
            </w:r>
            <w:proofErr w:type="spellEnd"/>
            <w:r w:rsidR="00195D58">
              <w:rPr>
                <w:rFonts w:cs="Times New Roman"/>
                <w:szCs w:val="24"/>
              </w:rPr>
              <w:t xml:space="preserve"> de stat</w:t>
            </w:r>
            <w:r w:rsidR="003A6D6F" w:rsidRPr="00107624">
              <w:rPr>
                <w:rFonts w:cs="Times New Roman"/>
                <w:szCs w:val="24"/>
              </w:rPr>
              <w:t>/</w:t>
            </w:r>
            <w:proofErr w:type="spellStart"/>
            <w:r w:rsidR="003A6D6F" w:rsidRPr="00107624">
              <w:rPr>
                <w:rFonts w:cs="Times New Roman"/>
                <w:szCs w:val="24"/>
              </w:rPr>
              <w:t>proiect</w:t>
            </w:r>
            <w:proofErr w:type="spellEnd"/>
            <w:r w:rsidR="003A6D6F" w:rsidRPr="00107624">
              <w:rPr>
                <w:rFonts w:cs="Times New Roman"/>
                <w:szCs w:val="24"/>
              </w:rPr>
              <w:t>/</w:t>
            </w:r>
            <w:proofErr w:type="spellStart"/>
            <w:r w:rsidR="003A6D6F" w:rsidRPr="00107624">
              <w:rPr>
                <w:rFonts w:cs="Times New Roman"/>
                <w:szCs w:val="24"/>
              </w:rPr>
              <w:t>întrepr</w:t>
            </w:r>
            <w:r w:rsidR="0008341B" w:rsidRPr="00107624">
              <w:rPr>
                <w:rFonts w:cs="Times New Roman"/>
                <w:szCs w:val="24"/>
              </w:rPr>
              <w:t>indere</w:t>
            </w:r>
            <w:proofErr w:type="spellEnd"/>
            <w:r w:rsidR="0008341B" w:rsidRPr="00107624">
              <w:rPr>
                <w:rFonts w:cs="Times New Roman"/>
                <w:szCs w:val="24"/>
              </w:rPr>
              <w:t xml:space="preserve"> </w:t>
            </w:r>
            <w:proofErr w:type="spellStart"/>
            <w:r w:rsidR="00195D58">
              <w:rPr>
                <w:rFonts w:cs="Times New Roman"/>
                <w:szCs w:val="24"/>
              </w:rPr>
              <w:t>alocat</w:t>
            </w:r>
            <w:proofErr w:type="spellEnd"/>
            <w:r w:rsidR="00195D58">
              <w:rPr>
                <w:rFonts w:cs="Times New Roman"/>
                <w:szCs w:val="24"/>
              </w:rPr>
              <w:t xml:space="preserve"> din </w:t>
            </w:r>
            <w:proofErr w:type="spellStart"/>
            <w:r w:rsidR="00195D58">
              <w:rPr>
                <w:rFonts w:cs="Times New Roman"/>
                <w:szCs w:val="24"/>
              </w:rPr>
              <w:t>prezenta</w:t>
            </w:r>
            <w:proofErr w:type="spellEnd"/>
            <w:r w:rsidR="00195D58">
              <w:rPr>
                <w:rFonts w:cs="Times New Roman"/>
                <w:szCs w:val="24"/>
              </w:rPr>
              <w:t xml:space="preserve"> schema de </w:t>
            </w:r>
            <w:proofErr w:type="spellStart"/>
            <w:r w:rsidR="00195D58">
              <w:rPr>
                <w:rFonts w:cs="Times New Roman"/>
                <w:szCs w:val="24"/>
              </w:rPr>
              <w:t>ajutor</w:t>
            </w:r>
            <w:proofErr w:type="spellEnd"/>
            <w:r w:rsidR="00195D58">
              <w:rPr>
                <w:rFonts w:cs="Times New Roman"/>
                <w:szCs w:val="24"/>
              </w:rPr>
              <w:t xml:space="preserve"> </w:t>
            </w:r>
            <w:proofErr w:type="spellStart"/>
            <w:r w:rsidR="00195D58">
              <w:rPr>
                <w:rFonts w:cs="Times New Roman"/>
                <w:szCs w:val="24"/>
              </w:rPr>
              <w:t>este</w:t>
            </w:r>
            <w:proofErr w:type="spellEnd"/>
            <w:r w:rsidR="00195D58">
              <w:rPr>
                <w:rFonts w:cs="Times New Roman"/>
                <w:szCs w:val="24"/>
              </w:rPr>
              <w:t xml:space="preserve"> de</w:t>
            </w:r>
            <w:r w:rsidR="0008341B" w:rsidRPr="00107624">
              <w:rPr>
                <w:rFonts w:cs="Times New Roman"/>
                <w:szCs w:val="24"/>
              </w:rPr>
              <w:t xml:space="preserve"> 1</w:t>
            </w:r>
            <w:r w:rsidR="007B71FF">
              <w:rPr>
                <w:rFonts w:cs="Times New Roman"/>
                <w:szCs w:val="24"/>
              </w:rPr>
              <w:t>.</w:t>
            </w:r>
            <w:r w:rsidR="00903B0F" w:rsidRPr="00107624">
              <w:rPr>
                <w:rFonts w:cs="Times New Roman"/>
                <w:szCs w:val="24"/>
              </w:rPr>
              <w:t>2</w:t>
            </w:r>
            <w:r w:rsidR="007B71FF">
              <w:rPr>
                <w:rFonts w:cs="Times New Roman"/>
                <w:szCs w:val="24"/>
              </w:rPr>
              <w:t>00.000</w:t>
            </w:r>
            <w:r w:rsidR="003A6D6F" w:rsidRPr="00107624">
              <w:rPr>
                <w:rFonts w:cs="Times New Roman"/>
                <w:szCs w:val="24"/>
              </w:rPr>
              <w:t xml:space="preserve"> euro</w:t>
            </w:r>
            <w:r w:rsidR="000B342A" w:rsidRPr="00107624">
              <w:rPr>
                <w:rFonts w:cs="Times New Roman"/>
                <w:szCs w:val="24"/>
              </w:rPr>
              <w:t xml:space="preserve"> pe </w:t>
            </w:r>
            <w:proofErr w:type="spellStart"/>
            <w:r w:rsidR="000B342A" w:rsidRPr="00107624">
              <w:rPr>
                <w:rFonts w:cs="Times New Roman"/>
                <w:szCs w:val="24"/>
              </w:rPr>
              <w:t>proiect</w:t>
            </w:r>
            <w:proofErr w:type="spellEnd"/>
            <w:r w:rsidR="000B342A" w:rsidRPr="00107624">
              <w:rPr>
                <w:rFonts w:cs="Times New Roman"/>
                <w:szCs w:val="24"/>
              </w:rPr>
              <w:t xml:space="preserve"> de </w:t>
            </w:r>
            <w:proofErr w:type="spellStart"/>
            <w:r w:rsidR="000B342A" w:rsidRPr="00107624">
              <w:rPr>
                <w:rFonts w:cs="Times New Roman"/>
                <w:szCs w:val="24"/>
              </w:rPr>
              <w:t>investiții</w:t>
            </w:r>
            <w:proofErr w:type="spellEnd"/>
            <w:r w:rsidR="0008341B" w:rsidRPr="00107624">
              <w:rPr>
                <w:rFonts w:cs="Times New Roman"/>
                <w:i/>
                <w:noProof/>
                <w:szCs w:val="24"/>
                <w:lang w:val="ro-RO"/>
              </w:rPr>
              <w:t xml:space="preserve"> din Măsura </w:t>
            </w:r>
            <w:r w:rsidR="00903B0F" w:rsidRPr="00107624">
              <w:rPr>
                <w:rFonts w:cs="Times New Roman"/>
                <w:i/>
                <w:noProof/>
                <w:szCs w:val="24"/>
                <w:lang w:val="ro-RO"/>
              </w:rPr>
              <w:t>de investiții - Investiția I5.</w:t>
            </w:r>
          </w:p>
          <w:p w14:paraId="76B6A466" w14:textId="77777777" w:rsidR="003A6D6F" w:rsidRPr="00107624" w:rsidRDefault="003A6D6F" w:rsidP="003A6D6F">
            <w:pPr>
              <w:shd w:val="clear" w:color="auto" w:fill="FFFFFF"/>
              <w:jc w:val="both"/>
              <w:rPr>
                <w:rFonts w:cs="Times New Roman"/>
                <w:i/>
                <w:noProof/>
                <w:szCs w:val="24"/>
                <w:lang w:val="ro-RO"/>
              </w:rPr>
            </w:pPr>
          </w:p>
          <w:p w14:paraId="52357F6C" w14:textId="18DA0B89" w:rsidR="00A22C57" w:rsidRPr="00107624" w:rsidRDefault="003A6D6F" w:rsidP="00195D58">
            <w:pPr>
              <w:shd w:val="clear" w:color="auto" w:fill="FFFFFF"/>
              <w:jc w:val="both"/>
              <w:rPr>
                <w:rFonts w:cs="Times New Roman"/>
                <w:b/>
                <w:noProof/>
                <w:szCs w:val="24"/>
                <w:lang w:val="ro-RO"/>
              </w:rPr>
            </w:pPr>
            <w:r w:rsidRPr="00107624">
              <w:rPr>
                <w:rFonts w:eastAsia="Times New Roman" w:cs="Times New Roman"/>
                <w:i/>
                <w:szCs w:val="24"/>
                <w:lang w:val="ro-RO" w:eastAsia="ro-RO"/>
              </w:rPr>
              <w:t xml:space="preserve">Se va avea în vedere corelarea cu informațiile prevăzute în </w:t>
            </w:r>
            <w:r w:rsidR="00195D58">
              <w:rPr>
                <w:rFonts w:eastAsia="Times New Roman" w:cs="Times New Roman"/>
                <w:i/>
                <w:szCs w:val="24"/>
                <w:lang w:val="ro-RO" w:eastAsia="ro-RO"/>
              </w:rPr>
              <w:t>Anexa privind</w:t>
            </w:r>
            <w:r w:rsidRPr="006F66E6">
              <w:rPr>
                <w:rFonts w:cs="Times New Roman"/>
                <w:szCs w:val="24"/>
                <w:lang w:val="ro-RO"/>
              </w:rPr>
              <w:t xml:space="preserve"> </w:t>
            </w:r>
            <w:r w:rsidRPr="006F66E6">
              <w:rPr>
                <w:rFonts w:cs="Times New Roman"/>
                <w:i/>
                <w:szCs w:val="24"/>
                <w:lang w:val="ro-RO"/>
              </w:rPr>
              <w:t xml:space="preserve">Buget </w:t>
            </w:r>
            <w:r w:rsidR="0072640E" w:rsidRPr="006F66E6">
              <w:rPr>
                <w:rFonts w:cs="Times New Roman"/>
                <w:i/>
                <w:szCs w:val="24"/>
                <w:lang w:val="ro-RO"/>
              </w:rPr>
              <w:t>-</w:t>
            </w:r>
            <w:r w:rsidR="00195D58">
              <w:rPr>
                <w:rFonts w:cs="Times New Roman"/>
                <w:i/>
                <w:szCs w:val="24"/>
                <w:lang w:val="ro-RO"/>
              </w:rPr>
              <w:t xml:space="preserve"> </w:t>
            </w:r>
            <w:r w:rsidR="0072640E" w:rsidRPr="006F66E6">
              <w:rPr>
                <w:rFonts w:eastAsia="Times New Roman" w:cs="Times New Roman"/>
                <w:i/>
                <w:szCs w:val="24"/>
                <w:lang w:val="ro-RO" w:eastAsia="ro-RO"/>
              </w:rPr>
              <w:t>C</w:t>
            </w:r>
            <w:r w:rsidRPr="006F66E6">
              <w:rPr>
                <w:rFonts w:eastAsia="Times New Roman" w:cs="Times New Roman"/>
                <w:i/>
                <w:szCs w:val="24"/>
                <w:lang w:val="ro-RO" w:eastAsia="ro-RO"/>
              </w:rPr>
              <w:t xml:space="preserve">heltuieli şi Analiza financiară din </w:t>
            </w:r>
            <w:r w:rsidR="002653A8" w:rsidRPr="006F66E6">
              <w:rPr>
                <w:rFonts w:eastAsia="Times New Roman" w:cs="Times New Roman"/>
                <w:i/>
                <w:szCs w:val="24"/>
                <w:lang w:val="ro-RO" w:eastAsia="ro-RO"/>
              </w:rPr>
              <w:t xml:space="preserve">cadrul </w:t>
            </w:r>
            <w:r w:rsidR="006F66E6" w:rsidRPr="006F66E6">
              <w:rPr>
                <w:rFonts w:eastAsia="Times New Roman" w:cs="Times New Roman"/>
                <w:i/>
                <w:szCs w:val="24"/>
                <w:lang w:val="ro-RO" w:eastAsia="ro-RO"/>
              </w:rPr>
              <w:t>Cererii de finanțare.</w:t>
            </w:r>
          </w:p>
        </w:tc>
      </w:tr>
    </w:tbl>
    <w:p w14:paraId="0FD26549" w14:textId="2E85474E" w:rsidR="00B23684" w:rsidRPr="00107624" w:rsidRDefault="00903B0F" w:rsidP="008C26EA">
      <w:pPr>
        <w:pStyle w:val="ListParagraph"/>
        <w:numPr>
          <w:ilvl w:val="0"/>
          <w:numId w:val="11"/>
        </w:numPr>
        <w:shd w:val="clear" w:color="auto" w:fill="FFFFFF"/>
        <w:spacing w:before="100" w:beforeAutospacing="1" w:after="100" w:afterAutospacing="1" w:line="240" w:lineRule="auto"/>
        <w:jc w:val="both"/>
        <w:rPr>
          <w:rFonts w:cs="Times New Roman"/>
          <w:b/>
          <w:noProof/>
          <w:szCs w:val="24"/>
          <w:u w:val="single"/>
          <w:lang w:val="ro-RO"/>
        </w:rPr>
      </w:pPr>
      <w:r w:rsidRPr="00107624">
        <w:rPr>
          <w:rFonts w:cs="Times New Roman"/>
          <w:b/>
          <w:noProof/>
          <w:szCs w:val="24"/>
          <w:u w:val="single"/>
          <w:lang w:val="ro-RO"/>
        </w:rPr>
        <w:t>Art. 4</w:t>
      </w:r>
      <w:r w:rsidR="00BA0356" w:rsidRPr="00107624">
        <w:rPr>
          <w:rFonts w:cs="Times New Roman"/>
          <w:b/>
          <w:noProof/>
          <w:szCs w:val="24"/>
          <w:u w:val="single"/>
          <w:lang w:val="ro-RO"/>
        </w:rPr>
        <w:t xml:space="preserve">. Efectul stimulativ, </w:t>
      </w:r>
    </w:p>
    <w:tbl>
      <w:tblPr>
        <w:tblStyle w:val="TableGrid"/>
        <w:tblW w:w="10031" w:type="dxa"/>
        <w:tblLook w:val="04A0" w:firstRow="1" w:lastRow="0" w:firstColumn="1" w:lastColumn="0" w:noHBand="0" w:noVBand="1"/>
      </w:tblPr>
      <w:tblGrid>
        <w:gridCol w:w="10031"/>
      </w:tblGrid>
      <w:tr w:rsidR="00107624" w:rsidRPr="00107624" w14:paraId="5BAAE1B1" w14:textId="77777777" w:rsidTr="008C26EA">
        <w:tc>
          <w:tcPr>
            <w:tcW w:w="10031" w:type="dxa"/>
          </w:tcPr>
          <w:p w14:paraId="158451B4" w14:textId="36A2A897" w:rsidR="00B23684" w:rsidRPr="00107624" w:rsidRDefault="00B23684" w:rsidP="00B23684">
            <w:pPr>
              <w:widowControl w:val="0"/>
              <w:spacing w:after="120"/>
              <w:jc w:val="both"/>
              <w:rPr>
                <w:rFonts w:eastAsia="Calibri" w:cs="Times New Roman"/>
                <w:i/>
                <w:szCs w:val="24"/>
                <w:lang w:val="ro-RO"/>
              </w:rPr>
            </w:pPr>
            <w:r w:rsidRPr="00107624">
              <w:rPr>
                <w:rFonts w:eastAsia="Calibri" w:cs="Times New Roman"/>
                <w:i/>
                <w:szCs w:val="24"/>
                <w:lang w:val="ro-RO"/>
              </w:rPr>
              <w:t>Se consider</w:t>
            </w:r>
            <w:r w:rsidRPr="00107624">
              <w:rPr>
                <w:rFonts w:eastAsia="Calibri" w:cs="Times New Roman" w:hint="eastAsia"/>
                <w:i/>
                <w:szCs w:val="24"/>
                <w:lang w:val="ro-RO"/>
              </w:rPr>
              <w:t>ă</w:t>
            </w:r>
            <w:r w:rsidRPr="00107624">
              <w:rPr>
                <w:rFonts w:eastAsia="Calibri" w:cs="Times New Roman"/>
                <w:i/>
                <w:szCs w:val="24"/>
                <w:lang w:val="ro-RO"/>
              </w:rPr>
              <w:t xml:space="preserve"> c</w:t>
            </w:r>
            <w:r w:rsidRPr="00107624">
              <w:rPr>
                <w:rFonts w:eastAsia="Calibri" w:cs="Times New Roman" w:hint="eastAsia"/>
                <w:i/>
                <w:szCs w:val="24"/>
                <w:lang w:val="ro-RO"/>
              </w:rPr>
              <w:t>ă</w:t>
            </w:r>
            <w:r w:rsidRPr="00107624">
              <w:rPr>
                <w:rFonts w:eastAsia="Calibri" w:cs="Times New Roman"/>
                <w:i/>
                <w:szCs w:val="24"/>
                <w:lang w:val="ro-RO"/>
              </w:rPr>
              <w:t xml:space="preserve"> ajutoarele au un efect stimulativ dac</w:t>
            </w:r>
            <w:r w:rsidRPr="00107624">
              <w:rPr>
                <w:rFonts w:eastAsia="Calibri" w:cs="Times New Roman" w:hint="eastAsia"/>
                <w:i/>
                <w:szCs w:val="24"/>
                <w:lang w:val="ro-RO"/>
              </w:rPr>
              <w:t>ă</w:t>
            </w:r>
            <w:r w:rsidRPr="00107624">
              <w:rPr>
                <w:rFonts w:eastAsia="Calibri" w:cs="Times New Roman"/>
                <w:i/>
                <w:szCs w:val="24"/>
                <w:lang w:val="ro-RO"/>
              </w:rPr>
              <w:t xml:space="preserve"> beneficiarul a prezentat cerere de ajutor scris</w:t>
            </w:r>
            <w:r w:rsidRPr="00107624">
              <w:rPr>
                <w:rFonts w:eastAsia="Calibri" w:cs="Times New Roman" w:hint="eastAsia"/>
                <w:i/>
                <w:szCs w:val="24"/>
                <w:lang w:val="ro-RO"/>
              </w:rPr>
              <w:t>ă</w:t>
            </w:r>
            <w:r w:rsidR="006F66E6">
              <w:rPr>
                <w:rFonts w:eastAsia="Calibri" w:cs="Times New Roman"/>
                <w:i/>
                <w:szCs w:val="24"/>
                <w:lang w:val="ro-RO"/>
              </w:rPr>
              <w:t xml:space="preserve"> (cererea de finanțare)</w:t>
            </w:r>
            <w:r w:rsidRPr="00107624">
              <w:rPr>
                <w:rFonts w:eastAsia="Calibri" w:cs="Times New Roman"/>
                <w:i/>
                <w:szCs w:val="24"/>
                <w:lang w:val="ro-RO"/>
              </w:rPr>
              <w:t xml:space="preserve"> </w:t>
            </w:r>
            <w:r w:rsidRPr="00107624">
              <w:rPr>
                <w:rFonts w:eastAsia="Calibri" w:cs="Times New Roman" w:hint="eastAsia"/>
                <w:i/>
                <w:szCs w:val="24"/>
                <w:lang w:val="ro-RO"/>
              </w:rPr>
              <w:t>î</w:t>
            </w:r>
            <w:r w:rsidRPr="00107624">
              <w:rPr>
                <w:rFonts w:eastAsia="Calibri" w:cs="Times New Roman"/>
                <w:i/>
                <w:szCs w:val="24"/>
                <w:lang w:val="ro-RO"/>
              </w:rPr>
              <w:t xml:space="preserve">nainte de </w:t>
            </w:r>
            <w:r w:rsidR="008C0BC7" w:rsidRPr="00107624">
              <w:rPr>
                <w:rFonts w:eastAsia="Calibri" w:cs="Times New Roman"/>
                <w:i/>
                <w:szCs w:val="24"/>
                <w:lang w:val="ro-RO"/>
              </w:rPr>
              <w:t>demararea lucrărilor</w:t>
            </w:r>
            <w:r w:rsidRPr="00107624">
              <w:rPr>
                <w:rFonts w:eastAsia="Calibri" w:cs="Times New Roman"/>
                <w:i/>
                <w:szCs w:val="24"/>
                <w:lang w:val="ro-RO"/>
              </w:rPr>
              <w:t xml:space="preserve"> la proiectul sau la activitatea respectiv</w:t>
            </w:r>
            <w:r w:rsidRPr="00107624">
              <w:rPr>
                <w:rFonts w:eastAsia="Calibri" w:cs="Times New Roman" w:hint="eastAsia"/>
                <w:i/>
                <w:szCs w:val="24"/>
                <w:lang w:val="ro-RO"/>
              </w:rPr>
              <w:t>ă</w:t>
            </w:r>
            <w:r w:rsidRPr="00107624">
              <w:rPr>
                <w:rFonts w:eastAsia="Calibri" w:cs="Times New Roman"/>
                <w:i/>
                <w:szCs w:val="24"/>
                <w:lang w:val="ro-RO"/>
              </w:rPr>
              <w:t xml:space="preserve">. </w:t>
            </w:r>
            <w:r w:rsidR="005B1B37">
              <w:rPr>
                <w:rFonts w:eastAsia="Calibri" w:cs="Times New Roman"/>
                <w:i/>
                <w:szCs w:val="24"/>
                <w:lang w:val="ro-RO"/>
              </w:rPr>
              <w:t>Cererea de finanțare</w:t>
            </w:r>
            <w:r w:rsidR="005B1B37" w:rsidRPr="00107624">
              <w:rPr>
                <w:rFonts w:eastAsia="Calibri" w:cs="Times New Roman"/>
                <w:i/>
                <w:szCs w:val="24"/>
                <w:lang w:val="ro-RO"/>
              </w:rPr>
              <w:t xml:space="preserve"> </w:t>
            </w:r>
            <w:r w:rsidRPr="00107624">
              <w:rPr>
                <w:rFonts w:eastAsia="Calibri" w:cs="Times New Roman"/>
                <w:i/>
                <w:szCs w:val="24"/>
                <w:lang w:val="ro-RO"/>
              </w:rPr>
              <w:t>conține cel puțin urm</w:t>
            </w:r>
            <w:r w:rsidRPr="00107624">
              <w:rPr>
                <w:rFonts w:eastAsia="Calibri" w:cs="Times New Roman" w:hint="eastAsia"/>
                <w:i/>
                <w:szCs w:val="24"/>
                <w:lang w:val="ro-RO"/>
              </w:rPr>
              <w:t>ă</w:t>
            </w:r>
            <w:r w:rsidRPr="00107624">
              <w:rPr>
                <w:rFonts w:eastAsia="Calibri" w:cs="Times New Roman"/>
                <w:i/>
                <w:szCs w:val="24"/>
                <w:lang w:val="ro-RO"/>
              </w:rPr>
              <w:t>toarele informații:</w:t>
            </w:r>
          </w:p>
          <w:p w14:paraId="103F1201" w14:textId="77777777" w:rsidR="00B23684" w:rsidRPr="00107624" w:rsidRDefault="00B23684" w:rsidP="00B23684">
            <w:pPr>
              <w:widowControl w:val="0"/>
              <w:ind w:left="720"/>
              <w:jc w:val="both"/>
              <w:rPr>
                <w:rFonts w:eastAsia="Calibri" w:cs="Times New Roman"/>
                <w:i/>
                <w:szCs w:val="24"/>
                <w:lang w:val="ro-RO"/>
              </w:rPr>
            </w:pPr>
            <w:r w:rsidRPr="00107624">
              <w:rPr>
                <w:rFonts w:eastAsia="Calibri" w:cs="Times New Roman"/>
                <w:i/>
                <w:szCs w:val="24"/>
                <w:lang w:val="ro-RO"/>
              </w:rPr>
              <w:t xml:space="preserve">(a) denumirea </w:t>
            </w:r>
            <w:r w:rsidRPr="00107624">
              <w:rPr>
                <w:rFonts w:eastAsia="Calibri" w:cs="Times New Roman" w:hint="eastAsia"/>
                <w:i/>
                <w:szCs w:val="24"/>
                <w:lang w:val="ro-RO"/>
              </w:rPr>
              <w:t>î</w:t>
            </w:r>
            <w:r w:rsidRPr="00107624">
              <w:rPr>
                <w:rFonts w:eastAsia="Calibri" w:cs="Times New Roman"/>
                <w:i/>
                <w:szCs w:val="24"/>
                <w:lang w:val="ro-RO"/>
              </w:rPr>
              <w:t>ntreprinderii și dimensiunea acesteia;</w:t>
            </w:r>
          </w:p>
          <w:p w14:paraId="5EA258E6" w14:textId="29F4576E" w:rsidR="00B23684" w:rsidRPr="00107624" w:rsidRDefault="00B23684" w:rsidP="008C26EA">
            <w:pPr>
              <w:widowControl w:val="0"/>
              <w:ind w:left="993" w:hanging="273"/>
              <w:jc w:val="both"/>
              <w:rPr>
                <w:rFonts w:eastAsia="Calibri" w:cs="Times New Roman"/>
                <w:i/>
                <w:szCs w:val="24"/>
                <w:lang w:val="ro-RO"/>
              </w:rPr>
            </w:pPr>
            <w:r w:rsidRPr="00107624">
              <w:rPr>
                <w:rFonts w:eastAsia="Calibri" w:cs="Times New Roman"/>
                <w:i/>
                <w:szCs w:val="24"/>
                <w:lang w:val="ro-RO"/>
              </w:rPr>
              <w:t xml:space="preserve">(b)descrierea proiectului, inclusiv data </w:t>
            </w:r>
            <w:r w:rsidRPr="00107624">
              <w:rPr>
                <w:rFonts w:eastAsia="Calibri" w:cs="Times New Roman" w:hint="eastAsia"/>
                <w:i/>
                <w:szCs w:val="24"/>
                <w:lang w:val="ro-RO"/>
              </w:rPr>
              <w:t>î</w:t>
            </w:r>
            <w:r w:rsidRPr="00107624">
              <w:rPr>
                <w:rFonts w:eastAsia="Calibri" w:cs="Times New Roman"/>
                <w:i/>
                <w:szCs w:val="24"/>
                <w:lang w:val="ro-RO"/>
              </w:rPr>
              <w:t xml:space="preserve">nceperii și a </w:t>
            </w:r>
            <w:r w:rsidRPr="00107624">
              <w:rPr>
                <w:rFonts w:eastAsia="Calibri" w:cs="Times New Roman" w:hint="eastAsia"/>
                <w:i/>
                <w:szCs w:val="24"/>
                <w:lang w:val="ro-RO"/>
              </w:rPr>
              <w:t>î</w:t>
            </w:r>
            <w:r w:rsidRPr="00107624">
              <w:rPr>
                <w:rFonts w:eastAsia="Calibri" w:cs="Times New Roman"/>
                <w:i/>
                <w:szCs w:val="24"/>
                <w:lang w:val="ro-RO"/>
              </w:rPr>
              <w:t>ncheierii acestuia</w:t>
            </w:r>
            <w:r w:rsidR="006F56CA" w:rsidRPr="00107624">
              <w:rPr>
                <w:rFonts w:eastAsia="Calibri" w:cs="Times New Roman"/>
                <w:i/>
                <w:szCs w:val="24"/>
                <w:lang w:val="ro-RO"/>
              </w:rPr>
              <w:t xml:space="preserve">, </w:t>
            </w:r>
          </w:p>
          <w:p w14:paraId="0359200A" w14:textId="00375335" w:rsidR="0047395F" w:rsidRPr="00107624" w:rsidRDefault="0047395F" w:rsidP="00B23684">
            <w:pPr>
              <w:widowControl w:val="0"/>
              <w:ind w:left="720"/>
              <w:jc w:val="both"/>
              <w:rPr>
                <w:rFonts w:eastAsia="Calibri" w:cs="Times New Roman"/>
                <w:i/>
                <w:szCs w:val="24"/>
                <w:lang w:val="ro-RO"/>
              </w:rPr>
            </w:pPr>
            <w:r w:rsidRPr="00107624">
              <w:rPr>
                <w:rFonts w:eastAsia="Calibri" w:cs="Times New Roman"/>
                <w:i/>
                <w:szCs w:val="24"/>
                <w:lang w:val="ro-RO"/>
              </w:rPr>
              <w:t xml:space="preserve">(c) </w:t>
            </w:r>
            <w:proofErr w:type="spellStart"/>
            <w:r w:rsidRPr="00107624">
              <w:rPr>
                <w:rFonts w:eastAsia="Calibri" w:cs="Times New Roman"/>
                <w:i/>
                <w:szCs w:val="24"/>
              </w:rPr>
              <w:t>obiectivele</w:t>
            </w:r>
            <w:proofErr w:type="spellEnd"/>
            <w:r w:rsidRPr="00107624">
              <w:rPr>
                <w:rFonts w:eastAsia="Calibri" w:cs="Times New Roman"/>
                <w:i/>
                <w:szCs w:val="24"/>
              </w:rPr>
              <w:t xml:space="preserve"> </w:t>
            </w:r>
            <w:proofErr w:type="spellStart"/>
            <w:r w:rsidRPr="00107624">
              <w:rPr>
                <w:rFonts w:eastAsia="Calibri" w:cs="Times New Roman"/>
                <w:i/>
                <w:szCs w:val="24"/>
              </w:rPr>
              <w:t>proiectului</w:t>
            </w:r>
            <w:proofErr w:type="spellEnd"/>
            <w:r w:rsidRPr="00107624">
              <w:rPr>
                <w:rFonts w:eastAsia="Calibri" w:cs="Times New Roman"/>
                <w:i/>
                <w:szCs w:val="24"/>
              </w:rPr>
              <w:t xml:space="preserve"> </w:t>
            </w:r>
            <w:proofErr w:type="spellStart"/>
            <w:r w:rsidR="00EB17C5">
              <w:rPr>
                <w:rFonts w:eastAsia="Calibri" w:cs="Times New Roman"/>
                <w:i/>
                <w:szCs w:val="24"/>
              </w:rPr>
              <w:t>ș</w:t>
            </w:r>
            <w:r w:rsidRPr="00107624">
              <w:rPr>
                <w:rFonts w:eastAsia="Calibri" w:cs="Times New Roman"/>
                <w:i/>
                <w:szCs w:val="24"/>
              </w:rPr>
              <w:t>i</w:t>
            </w:r>
            <w:proofErr w:type="spellEnd"/>
            <w:r w:rsidRPr="00107624">
              <w:rPr>
                <w:rFonts w:eastAsia="Calibri" w:cs="Times New Roman"/>
                <w:i/>
                <w:szCs w:val="24"/>
              </w:rPr>
              <w:t xml:space="preserve"> </w:t>
            </w:r>
            <w:proofErr w:type="spellStart"/>
            <w:r w:rsidRPr="00107624">
              <w:rPr>
                <w:rFonts w:eastAsia="Calibri" w:cs="Times New Roman"/>
                <w:i/>
                <w:szCs w:val="24"/>
              </w:rPr>
              <w:t>rezultatele</w:t>
            </w:r>
            <w:proofErr w:type="spellEnd"/>
            <w:r w:rsidRPr="00107624">
              <w:rPr>
                <w:rFonts w:eastAsia="Calibri" w:cs="Times New Roman"/>
                <w:i/>
                <w:szCs w:val="24"/>
              </w:rPr>
              <w:t xml:space="preserve"> </w:t>
            </w:r>
            <w:proofErr w:type="spellStart"/>
            <w:r w:rsidR="00EB17C5" w:rsidRPr="00107624">
              <w:rPr>
                <w:rFonts w:eastAsia="Calibri" w:cs="Times New Roman"/>
                <w:i/>
                <w:szCs w:val="24"/>
              </w:rPr>
              <w:t>a</w:t>
            </w:r>
            <w:r w:rsidR="00EB17C5">
              <w:rPr>
                <w:rFonts w:eastAsia="Calibri" w:cs="Times New Roman"/>
                <w:i/>
                <w:szCs w:val="24"/>
              </w:rPr>
              <w:t>ș</w:t>
            </w:r>
            <w:r w:rsidR="00EB17C5" w:rsidRPr="00107624">
              <w:rPr>
                <w:rFonts w:eastAsia="Calibri" w:cs="Times New Roman"/>
                <w:i/>
                <w:szCs w:val="24"/>
              </w:rPr>
              <w:t>teptate</w:t>
            </w:r>
            <w:proofErr w:type="spellEnd"/>
            <w:r w:rsidRPr="00107624">
              <w:rPr>
                <w:rFonts w:eastAsia="Calibri" w:cs="Times New Roman"/>
                <w:i/>
                <w:szCs w:val="24"/>
                <w:lang w:val="ro-RO"/>
              </w:rPr>
              <w:t>;</w:t>
            </w:r>
          </w:p>
          <w:p w14:paraId="153953A9" w14:textId="50B5481D" w:rsidR="00B23684" w:rsidRPr="00107624" w:rsidRDefault="00B23684" w:rsidP="00B23684">
            <w:pPr>
              <w:widowControl w:val="0"/>
              <w:ind w:left="720"/>
              <w:jc w:val="both"/>
              <w:rPr>
                <w:rFonts w:eastAsia="Calibri" w:cs="Times New Roman"/>
                <w:i/>
                <w:szCs w:val="24"/>
                <w:lang w:val="ro-RO"/>
              </w:rPr>
            </w:pPr>
            <w:r w:rsidRPr="00107624">
              <w:rPr>
                <w:rFonts w:eastAsia="Calibri" w:cs="Times New Roman"/>
                <w:i/>
                <w:szCs w:val="24"/>
                <w:lang w:val="ro-RO"/>
              </w:rPr>
              <w:t>(</w:t>
            </w:r>
            <w:r w:rsidR="00881505" w:rsidRPr="00107624">
              <w:rPr>
                <w:rFonts w:eastAsia="Calibri" w:cs="Times New Roman"/>
                <w:i/>
                <w:szCs w:val="24"/>
                <w:lang w:val="ro-RO"/>
              </w:rPr>
              <w:t>d</w:t>
            </w:r>
            <w:r w:rsidRPr="00107624">
              <w:rPr>
                <w:rFonts w:eastAsia="Calibri" w:cs="Times New Roman"/>
                <w:i/>
                <w:szCs w:val="24"/>
                <w:lang w:val="ro-RO"/>
              </w:rPr>
              <w:t>) lo</w:t>
            </w:r>
            <w:r w:rsidR="0047395F" w:rsidRPr="00107624">
              <w:rPr>
                <w:rFonts w:eastAsia="Calibri" w:cs="Times New Roman"/>
                <w:i/>
                <w:szCs w:val="24"/>
                <w:lang w:val="ro-RO"/>
              </w:rPr>
              <w:t>calizarea</w:t>
            </w:r>
            <w:r w:rsidRPr="00107624">
              <w:rPr>
                <w:rFonts w:eastAsia="Calibri" w:cs="Times New Roman"/>
                <w:i/>
                <w:szCs w:val="24"/>
                <w:lang w:val="ro-RO"/>
              </w:rPr>
              <w:t xml:space="preserve"> proiectului;</w:t>
            </w:r>
          </w:p>
          <w:p w14:paraId="572E0099" w14:textId="3167855C" w:rsidR="00881505" w:rsidRPr="00107624" w:rsidRDefault="00881505" w:rsidP="001129EC">
            <w:pPr>
              <w:widowControl w:val="0"/>
              <w:ind w:left="720"/>
              <w:jc w:val="both"/>
              <w:rPr>
                <w:rFonts w:eastAsia="Calibri" w:cs="Times New Roman"/>
                <w:i/>
                <w:szCs w:val="24"/>
                <w:lang w:val="en-GB"/>
              </w:rPr>
            </w:pPr>
            <w:r w:rsidRPr="00107624">
              <w:rPr>
                <w:rFonts w:eastAsia="Calibri" w:cs="Times New Roman"/>
                <w:i/>
                <w:szCs w:val="24"/>
                <w:lang w:val="ro-RO"/>
              </w:rPr>
              <w:t>(e) bugetul proiectului</w:t>
            </w:r>
            <w:r w:rsidR="009236C4" w:rsidRPr="00107624">
              <w:rPr>
                <w:rFonts w:eastAsia="Calibri" w:cs="Times New Roman"/>
                <w:i/>
                <w:szCs w:val="24"/>
                <w:lang w:val="en-GB"/>
              </w:rPr>
              <w:t>;</w:t>
            </w:r>
          </w:p>
          <w:p w14:paraId="534B47A5" w14:textId="657FD432" w:rsidR="00B23684" w:rsidRPr="00107624" w:rsidRDefault="00B23684" w:rsidP="00B23684">
            <w:pPr>
              <w:widowControl w:val="0"/>
              <w:ind w:left="720"/>
              <w:jc w:val="both"/>
              <w:rPr>
                <w:rFonts w:eastAsia="Calibri" w:cs="Times New Roman"/>
                <w:i/>
                <w:szCs w:val="24"/>
                <w:lang w:val="ro-RO"/>
              </w:rPr>
            </w:pPr>
            <w:r w:rsidRPr="00107624">
              <w:rPr>
                <w:rFonts w:eastAsia="Calibri" w:cs="Times New Roman"/>
                <w:i/>
                <w:szCs w:val="24"/>
                <w:lang w:val="ro-RO"/>
              </w:rPr>
              <w:t>(</w:t>
            </w:r>
            <w:r w:rsidR="0081676F" w:rsidRPr="00107624">
              <w:rPr>
                <w:rFonts w:eastAsia="Calibri" w:cs="Times New Roman"/>
                <w:i/>
                <w:szCs w:val="24"/>
                <w:lang w:val="ro-RO"/>
              </w:rPr>
              <w:t>f</w:t>
            </w:r>
            <w:r w:rsidRPr="00107624">
              <w:rPr>
                <w:rFonts w:eastAsia="Calibri" w:cs="Times New Roman"/>
                <w:i/>
                <w:szCs w:val="24"/>
                <w:lang w:val="ro-RO"/>
              </w:rPr>
              <w:t>) lista costurilor proiectului;</w:t>
            </w:r>
            <w:r w:rsidR="00195D58">
              <w:rPr>
                <w:rFonts w:eastAsia="Calibri" w:cs="Times New Roman"/>
                <w:i/>
                <w:szCs w:val="24"/>
                <w:lang w:val="ro-RO"/>
              </w:rPr>
              <w:t>cheltuielile eligibile din schemă</w:t>
            </w:r>
            <w:r w:rsidR="00EB17C5" w:rsidRPr="00107624">
              <w:rPr>
                <w:rFonts w:eastAsia="Calibri" w:cs="Times New Roman"/>
                <w:i/>
                <w:szCs w:val="24"/>
                <w:lang w:val="en-GB"/>
              </w:rPr>
              <w:t>;</w:t>
            </w:r>
          </w:p>
          <w:p w14:paraId="2867F400" w14:textId="73FC67FD" w:rsidR="00987675" w:rsidRPr="00107624" w:rsidRDefault="0081676F" w:rsidP="008C26EA">
            <w:pPr>
              <w:widowControl w:val="0"/>
              <w:ind w:left="993" w:hanging="273"/>
              <w:jc w:val="both"/>
              <w:rPr>
                <w:rFonts w:eastAsia="Calibri" w:cs="Times New Roman"/>
                <w:i/>
                <w:szCs w:val="24"/>
                <w:lang w:val="ro-RO"/>
              </w:rPr>
            </w:pPr>
            <w:r w:rsidRPr="00107624">
              <w:rPr>
                <w:rFonts w:eastAsia="Calibri" w:cs="Times New Roman"/>
                <w:i/>
                <w:szCs w:val="24"/>
                <w:lang w:val="ro-RO"/>
              </w:rPr>
              <w:t>(g) valoarea finanț</w:t>
            </w:r>
            <w:r w:rsidRPr="00107624">
              <w:rPr>
                <w:rFonts w:eastAsia="Calibri" w:cs="Times New Roman" w:hint="eastAsia"/>
                <w:i/>
                <w:szCs w:val="24"/>
                <w:lang w:val="ro-RO"/>
              </w:rPr>
              <w:t>ă</w:t>
            </w:r>
            <w:r w:rsidRPr="00107624">
              <w:rPr>
                <w:rFonts w:eastAsia="Calibri" w:cs="Times New Roman"/>
                <w:i/>
                <w:szCs w:val="24"/>
                <w:lang w:val="ro-RO"/>
              </w:rPr>
              <w:t xml:space="preserve">rii publice </w:t>
            </w:r>
            <w:r w:rsidR="00473FEE" w:rsidRPr="00107624">
              <w:rPr>
                <w:rFonts w:eastAsia="Calibri" w:cs="Times New Roman"/>
                <w:i/>
                <w:szCs w:val="24"/>
                <w:lang w:val="ro-RO"/>
              </w:rPr>
              <w:t xml:space="preserve">solicitate </w:t>
            </w:r>
            <w:r w:rsidRPr="00107624">
              <w:rPr>
                <w:rFonts w:eastAsia="Calibri" w:cs="Times New Roman"/>
                <w:i/>
                <w:szCs w:val="24"/>
                <w:lang w:val="ro-RO"/>
              </w:rPr>
              <w:t>pentru proiect</w:t>
            </w:r>
            <w:r w:rsidR="00EB17C5" w:rsidRPr="00107624">
              <w:rPr>
                <w:rFonts w:eastAsia="Calibri" w:cs="Times New Roman"/>
                <w:i/>
                <w:szCs w:val="24"/>
                <w:lang w:val="en-GB"/>
              </w:rPr>
              <w:t>;</w:t>
            </w:r>
            <w:r w:rsidR="006F56CA" w:rsidRPr="00107624">
              <w:rPr>
                <w:rFonts w:eastAsia="Calibri" w:cs="Times New Roman"/>
                <w:i/>
                <w:szCs w:val="24"/>
                <w:lang w:val="ro-RO"/>
              </w:rPr>
              <w:t xml:space="preserve"> </w:t>
            </w:r>
          </w:p>
          <w:p w14:paraId="5AB773A2" w14:textId="1E95CDDC" w:rsidR="0081676F" w:rsidRPr="00107624" w:rsidRDefault="0081676F" w:rsidP="00A929F0">
            <w:pPr>
              <w:widowControl w:val="0"/>
              <w:ind w:left="720"/>
              <w:jc w:val="both"/>
              <w:rPr>
                <w:rFonts w:eastAsia="Calibri" w:cs="Times New Roman"/>
                <w:i/>
                <w:szCs w:val="24"/>
                <w:lang w:val="ro-RO"/>
              </w:rPr>
            </w:pPr>
            <w:r w:rsidRPr="00107624">
              <w:rPr>
                <w:rFonts w:eastAsia="Calibri" w:cs="Times New Roman"/>
                <w:i/>
                <w:szCs w:val="24"/>
                <w:lang w:val="ro-RO"/>
              </w:rPr>
              <w:t xml:space="preserve">(h) </w:t>
            </w:r>
            <w:r w:rsidR="00064E2C" w:rsidRPr="00107624">
              <w:rPr>
                <w:rFonts w:eastAsia="Calibri" w:cs="Times New Roman"/>
                <w:i/>
                <w:szCs w:val="24"/>
                <w:lang w:val="ro-RO"/>
              </w:rPr>
              <w:t>auditul energetic inițial</w:t>
            </w:r>
            <w:r w:rsidR="00D53032" w:rsidRPr="00107624">
              <w:rPr>
                <w:rFonts w:eastAsia="Calibri" w:cs="Times New Roman"/>
                <w:i/>
                <w:szCs w:val="24"/>
                <w:lang w:val="ro-RO"/>
              </w:rPr>
              <w:t>.</w:t>
            </w:r>
          </w:p>
          <w:p w14:paraId="2CFC21DF" w14:textId="77777777" w:rsidR="0081676F" w:rsidRPr="00107624" w:rsidRDefault="0081676F" w:rsidP="00B23684">
            <w:pPr>
              <w:widowControl w:val="0"/>
              <w:ind w:left="720"/>
              <w:jc w:val="both"/>
              <w:rPr>
                <w:rFonts w:eastAsia="Calibri" w:cs="Times New Roman"/>
                <w:i/>
                <w:sz w:val="12"/>
                <w:szCs w:val="12"/>
                <w:lang w:val="ro-RO"/>
              </w:rPr>
            </w:pPr>
          </w:p>
          <w:p w14:paraId="7FB87E59" w14:textId="4ECE9C7C" w:rsidR="00421E8E" w:rsidRPr="00107624" w:rsidRDefault="00064E2C" w:rsidP="00421E8E">
            <w:pPr>
              <w:widowControl w:val="0"/>
              <w:spacing w:after="120"/>
              <w:jc w:val="both"/>
              <w:rPr>
                <w:rFonts w:eastAsia="Calibri" w:cs="Times New Roman"/>
                <w:i/>
                <w:szCs w:val="24"/>
                <w:lang w:val="ro-RO"/>
              </w:rPr>
            </w:pPr>
            <w:r w:rsidRPr="00107624">
              <w:rPr>
                <w:rFonts w:eastAsia="Times New Roman" w:cs="Times New Roman"/>
                <w:szCs w:val="24"/>
                <w:lang w:val="ro-RO" w:eastAsia="ro-RO"/>
              </w:rPr>
              <w:t>M</w:t>
            </w:r>
            <w:r w:rsidR="000F6D69" w:rsidRPr="00107624">
              <w:rPr>
                <w:rFonts w:eastAsia="Times New Roman" w:cs="Times New Roman"/>
                <w:szCs w:val="24"/>
                <w:lang w:val="ro-RO" w:eastAsia="ro-RO"/>
              </w:rPr>
              <w:t xml:space="preserve">omentul demarării </w:t>
            </w:r>
            <w:r w:rsidR="007216FF" w:rsidRPr="007216FF">
              <w:rPr>
                <w:rFonts w:eastAsia="Times New Roman" w:cs="Times New Roman"/>
                <w:iCs/>
                <w:szCs w:val="24"/>
                <w:lang w:val="ro-RO" w:eastAsia="ro-RO"/>
              </w:rPr>
              <w:t>activit</w:t>
            </w:r>
            <w:r w:rsidR="00EB17C5">
              <w:rPr>
                <w:rFonts w:eastAsia="Times New Roman" w:cs="Times New Roman"/>
                <w:iCs/>
                <w:szCs w:val="24"/>
                <w:lang w:val="ro-RO" w:eastAsia="ro-RO"/>
              </w:rPr>
              <w:t>ăț</w:t>
            </w:r>
            <w:r w:rsidR="007216FF" w:rsidRPr="007216FF">
              <w:rPr>
                <w:rFonts w:eastAsia="Times New Roman" w:cs="Times New Roman"/>
                <w:iCs/>
                <w:szCs w:val="24"/>
                <w:lang w:val="ro-RO" w:eastAsia="ro-RO"/>
              </w:rPr>
              <w:t>il</w:t>
            </w:r>
            <w:r w:rsidR="007216FF">
              <w:rPr>
                <w:rFonts w:eastAsia="Times New Roman" w:cs="Times New Roman"/>
                <w:iCs/>
                <w:szCs w:val="24"/>
                <w:lang w:val="ro-RO" w:eastAsia="ro-RO"/>
              </w:rPr>
              <w:t>or</w:t>
            </w:r>
            <w:r w:rsidR="007216FF" w:rsidRPr="007216FF">
              <w:rPr>
                <w:rFonts w:eastAsia="Times New Roman" w:cs="Times New Roman"/>
                <w:iCs/>
                <w:szCs w:val="24"/>
                <w:lang w:val="ro-RO" w:eastAsia="ro-RO"/>
              </w:rPr>
              <w:t xml:space="preserve"> ce constituie </w:t>
            </w:r>
            <w:r w:rsidR="00005D21">
              <w:rPr>
                <w:rFonts w:eastAsia="Times New Roman" w:cs="Times New Roman"/>
                <w:iCs/>
                <w:szCs w:val="24"/>
                <w:lang w:val="ro-RO" w:eastAsia="ro-RO"/>
              </w:rPr>
              <w:t>„</w:t>
            </w:r>
            <w:r w:rsidR="007216FF" w:rsidRPr="007216FF">
              <w:rPr>
                <w:rFonts w:eastAsia="Times New Roman" w:cs="Times New Roman"/>
                <w:iCs/>
                <w:szCs w:val="24"/>
                <w:lang w:val="ro-RO" w:eastAsia="ro-RO"/>
              </w:rPr>
              <w:t>demararea lucrărilor</w:t>
            </w:r>
            <w:r w:rsidR="00005D21">
              <w:rPr>
                <w:rFonts w:eastAsia="Times New Roman" w:cs="Times New Roman"/>
                <w:iCs/>
                <w:szCs w:val="24"/>
                <w:lang w:val="ro-RO" w:eastAsia="ro-RO"/>
              </w:rPr>
              <w:t>”</w:t>
            </w:r>
            <w:r w:rsidR="00195D58">
              <w:rPr>
                <w:rFonts w:eastAsia="Times New Roman" w:cs="Times New Roman"/>
                <w:szCs w:val="24"/>
                <w:lang w:val="ro-RO" w:eastAsia="ro-RO"/>
              </w:rPr>
              <w:t xml:space="preserve"> </w:t>
            </w:r>
            <w:r w:rsidR="00E6278D">
              <w:rPr>
                <w:rFonts w:eastAsia="Times New Roman" w:cs="Times New Roman"/>
                <w:szCs w:val="24"/>
                <w:lang w:val="ro-RO" w:eastAsia="ro-RO"/>
              </w:rPr>
              <w:t xml:space="preserve">nu poate fi anterior </w:t>
            </w:r>
            <w:r w:rsidR="00D53032" w:rsidRPr="00107624">
              <w:rPr>
                <w:rFonts w:eastAsia="Times New Roman" w:cs="Times New Roman"/>
                <w:szCs w:val="24"/>
                <w:lang w:val="ro-RO" w:eastAsia="ro-RO"/>
              </w:rPr>
              <w:t xml:space="preserve">depunerii </w:t>
            </w:r>
            <w:r w:rsidR="00EE534F">
              <w:rPr>
                <w:rFonts w:eastAsia="Times New Roman" w:cs="Times New Roman"/>
                <w:szCs w:val="24"/>
                <w:lang w:val="ro-RO" w:eastAsia="ro-RO"/>
              </w:rPr>
              <w:t>cererii de</w:t>
            </w:r>
            <w:r w:rsidR="005E0FFA" w:rsidRPr="00107624">
              <w:rPr>
                <w:rFonts w:eastAsia="Times New Roman" w:cs="Times New Roman"/>
                <w:szCs w:val="24"/>
                <w:lang w:val="ro-RO" w:eastAsia="ro-RO"/>
              </w:rPr>
              <w:t xml:space="preserve"> finanțare </w:t>
            </w:r>
            <w:r w:rsidR="00D53032" w:rsidRPr="00107624">
              <w:rPr>
                <w:rFonts w:eastAsia="Times New Roman" w:cs="Times New Roman"/>
                <w:szCs w:val="24"/>
                <w:lang w:val="ro-RO" w:eastAsia="ro-RO"/>
              </w:rPr>
              <w:t>la</w:t>
            </w:r>
            <w:r w:rsidR="005E0FFA" w:rsidRPr="00107624">
              <w:rPr>
                <w:rFonts w:eastAsia="Times New Roman" w:cs="Times New Roman"/>
                <w:szCs w:val="24"/>
                <w:lang w:val="ro-RO" w:eastAsia="ro-RO"/>
              </w:rPr>
              <w:t xml:space="preserve"> Ministerul Energiei.</w:t>
            </w:r>
          </w:p>
          <w:p w14:paraId="63D41EB5" w14:textId="3B4C3F7E" w:rsidR="00B23684" w:rsidRPr="00107624" w:rsidRDefault="00ED3466" w:rsidP="00064E2C">
            <w:pPr>
              <w:jc w:val="both"/>
              <w:rPr>
                <w:rFonts w:eastAsia="Times New Roman" w:cs="Times New Roman"/>
                <w:i/>
                <w:szCs w:val="24"/>
                <w:lang w:val="ro-RO" w:eastAsia="ro-RO"/>
              </w:rPr>
            </w:pPr>
            <w:r w:rsidRPr="00107624">
              <w:rPr>
                <w:rFonts w:eastAsia="Times New Roman" w:cs="Times New Roman"/>
                <w:i/>
                <w:szCs w:val="24"/>
                <w:lang w:val="ro-RO" w:eastAsia="ro-RO"/>
              </w:rPr>
              <w:t xml:space="preserve">Solicitantul justifică efectul stimulativ al ajutorului solicitat şi va </w:t>
            </w:r>
            <w:r w:rsidR="00CE2433" w:rsidRPr="00107624">
              <w:rPr>
                <w:rFonts w:eastAsia="Times New Roman" w:cs="Times New Roman"/>
                <w:i/>
                <w:szCs w:val="24"/>
                <w:lang w:val="ro-RO" w:eastAsia="ro-RO"/>
              </w:rPr>
              <w:t xml:space="preserve">completa cu elementele precizate mai sus </w:t>
            </w:r>
            <w:r w:rsidR="00064E2C" w:rsidRPr="00107624">
              <w:rPr>
                <w:rFonts w:eastAsia="Times New Roman" w:cs="Times New Roman"/>
                <w:i/>
                <w:szCs w:val="24"/>
                <w:lang w:val="ro-RO" w:eastAsia="ro-RO"/>
              </w:rPr>
              <w:t>și prevederile schemei de ajutor de stat și ale ghidului specific.</w:t>
            </w:r>
          </w:p>
        </w:tc>
      </w:tr>
      <w:tr w:rsidR="00B23684" w:rsidRPr="00107624" w14:paraId="333FE61B" w14:textId="77777777" w:rsidTr="008C26EA">
        <w:trPr>
          <w:trHeight w:val="948"/>
        </w:trPr>
        <w:tc>
          <w:tcPr>
            <w:tcW w:w="10031" w:type="dxa"/>
          </w:tcPr>
          <w:p w14:paraId="45A11845" w14:textId="5E9827D3" w:rsidR="00B612FE" w:rsidRPr="00882495" w:rsidRDefault="00CE2433" w:rsidP="00CE2433">
            <w:pPr>
              <w:jc w:val="both"/>
              <w:rPr>
                <w:rFonts w:eastAsia="Times New Roman" w:cs="Times New Roman"/>
                <w:b/>
                <w:i/>
                <w:szCs w:val="24"/>
                <w:lang w:val="ro-RO" w:eastAsia="ro-RO"/>
              </w:rPr>
            </w:pPr>
            <w:r w:rsidRPr="00882495">
              <w:rPr>
                <w:rFonts w:eastAsia="Times New Roman" w:cs="Times New Roman"/>
                <w:b/>
                <w:i/>
                <w:szCs w:val="24"/>
                <w:lang w:val="ro-RO" w:eastAsia="ro-RO"/>
              </w:rPr>
              <w:t xml:space="preserve">De asemenea, </w:t>
            </w:r>
            <w:r w:rsidR="00005D21">
              <w:rPr>
                <w:rFonts w:eastAsia="Times New Roman" w:cs="Times New Roman"/>
                <w:b/>
                <w:i/>
                <w:szCs w:val="24"/>
                <w:lang w:val="ro-RO" w:eastAsia="ro-RO"/>
              </w:rPr>
              <w:t xml:space="preserve">după caz, </w:t>
            </w:r>
            <w:r w:rsidR="006B67DF" w:rsidRPr="00882495">
              <w:rPr>
                <w:rFonts w:eastAsia="Times New Roman" w:cs="Times New Roman"/>
                <w:b/>
                <w:i/>
                <w:szCs w:val="24"/>
                <w:lang w:val="ro-RO" w:eastAsia="ro-RO"/>
              </w:rPr>
              <w:t>conform Ghidului</w:t>
            </w:r>
            <w:r w:rsidR="004430AF" w:rsidRPr="00882495">
              <w:rPr>
                <w:rFonts w:eastAsia="Times New Roman" w:cs="Times New Roman"/>
                <w:b/>
                <w:i/>
                <w:szCs w:val="24"/>
                <w:lang w:val="ro-RO" w:eastAsia="ro-RO"/>
              </w:rPr>
              <w:t xml:space="preserve"> </w:t>
            </w:r>
            <w:r w:rsidR="00AC0035" w:rsidRPr="00882495">
              <w:rPr>
                <w:rFonts w:eastAsia="Times New Roman" w:cs="Times New Roman"/>
                <w:b/>
                <w:i/>
                <w:szCs w:val="24"/>
                <w:lang w:val="ro-RO" w:eastAsia="ro-RO"/>
              </w:rPr>
              <w:t>specific</w:t>
            </w:r>
            <w:r w:rsidR="006B67DF" w:rsidRPr="00882495">
              <w:rPr>
                <w:rFonts w:eastAsia="Times New Roman" w:cs="Times New Roman"/>
                <w:b/>
                <w:i/>
                <w:szCs w:val="24"/>
                <w:lang w:val="ro-RO" w:eastAsia="ro-RO"/>
              </w:rPr>
              <w:t>, solicitanţii de ajutor de stat vor explica ce s-ar întâmpla în absența ajutorului, și anume o situație care este descrisă ca fiind scenariul contrafactual</w:t>
            </w:r>
            <w:r w:rsidR="007B71FF">
              <w:rPr>
                <w:rFonts w:eastAsia="Times New Roman" w:cs="Times New Roman"/>
                <w:b/>
                <w:i/>
                <w:szCs w:val="24"/>
                <w:lang w:val="ro-RO" w:eastAsia="ro-RO"/>
              </w:rPr>
              <w:t xml:space="preserve">. </w:t>
            </w:r>
            <w:r w:rsidR="00BA365B" w:rsidRPr="00882495">
              <w:rPr>
                <w:rFonts w:eastAsia="Times New Roman" w:cs="Times New Roman"/>
                <w:b/>
                <w:i/>
                <w:szCs w:val="24"/>
                <w:lang w:val="ro-RO" w:eastAsia="ro-RO"/>
              </w:rPr>
              <w:t>Se vor considera punctele 1.3.4., 1.8.2. și 1.8.3 din ghidul specific.</w:t>
            </w:r>
          </w:p>
          <w:p w14:paraId="502CE828" w14:textId="77777777" w:rsidR="003A6D6F" w:rsidRPr="00107624" w:rsidRDefault="003A6D6F" w:rsidP="00CE2433">
            <w:pPr>
              <w:jc w:val="both"/>
              <w:rPr>
                <w:rFonts w:eastAsia="Times New Roman" w:cs="Times New Roman"/>
                <w:i/>
                <w:sz w:val="12"/>
                <w:szCs w:val="12"/>
                <w:lang w:val="ro-RO" w:eastAsia="ro-RO"/>
              </w:rPr>
            </w:pPr>
          </w:p>
          <w:p w14:paraId="6F62901F" w14:textId="4727F72E" w:rsidR="004D7CCE" w:rsidRPr="00107624" w:rsidRDefault="004D7CCE" w:rsidP="00CE2433">
            <w:pPr>
              <w:jc w:val="both"/>
              <w:rPr>
                <w:rFonts w:eastAsia="Times New Roman" w:cs="Times New Roman"/>
                <w:szCs w:val="24"/>
                <w:lang w:val="ro-RO" w:eastAsia="ro-RO"/>
              </w:rPr>
            </w:pPr>
          </w:p>
        </w:tc>
      </w:tr>
    </w:tbl>
    <w:p w14:paraId="356B6291" w14:textId="5849EF0D" w:rsidR="00D90E91" w:rsidRPr="00107624" w:rsidRDefault="00D90E91" w:rsidP="00B23684">
      <w:pPr>
        <w:shd w:val="clear" w:color="auto" w:fill="FFFFFF"/>
        <w:spacing w:after="0" w:line="240" w:lineRule="auto"/>
        <w:jc w:val="both"/>
        <w:rPr>
          <w:rFonts w:cs="Times New Roman"/>
          <w:b/>
          <w:noProof/>
          <w:szCs w:val="24"/>
          <w:u w:val="single"/>
          <w:lang w:val="ro-RO"/>
        </w:rPr>
      </w:pPr>
    </w:p>
    <w:p w14:paraId="4E1EF86E" w14:textId="77777777" w:rsidR="00E6278D" w:rsidRPr="00E6278D" w:rsidRDefault="00E6278D" w:rsidP="00E6278D">
      <w:pPr>
        <w:shd w:val="clear" w:color="auto" w:fill="FFFFFF"/>
        <w:spacing w:after="0" w:line="240" w:lineRule="auto"/>
        <w:jc w:val="both"/>
        <w:rPr>
          <w:rFonts w:cs="Times New Roman"/>
          <w:szCs w:val="24"/>
          <w:lang w:val="ro-RO"/>
        </w:rPr>
      </w:pPr>
    </w:p>
    <w:p w14:paraId="73B11676" w14:textId="25BED79C" w:rsidR="00B23684" w:rsidRPr="00107624" w:rsidRDefault="00064E2C" w:rsidP="008C26EA">
      <w:pPr>
        <w:pStyle w:val="ListParagraph"/>
        <w:numPr>
          <w:ilvl w:val="0"/>
          <w:numId w:val="10"/>
        </w:numPr>
        <w:shd w:val="clear" w:color="auto" w:fill="FFFFFF"/>
        <w:spacing w:after="0" w:line="240" w:lineRule="auto"/>
        <w:jc w:val="both"/>
        <w:rPr>
          <w:rFonts w:cs="Times New Roman"/>
          <w:szCs w:val="24"/>
          <w:lang w:val="ro-RO"/>
        </w:rPr>
      </w:pPr>
      <w:r w:rsidRPr="00107624">
        <w:rPr>
          <w:rFonts w:cs="Times New Roman"/>
          <w:b/>
          <w:noProof/>
          <w:szCs w:val="24"/>
          <w:u w:val="single"/>
          <w:lang w:val="ro-RO"/>
        </w:rPr>
        <w:t>Art. 5</w:t>
      </w:r>
      <w:r w:rsidR="008550D5" w:rsidRPr="00107624">
        <w:rPr>
          <w:rFonts w:cs="Times New Roman"/>
          <w:b/>
          <w:noProof/>
          <w:szCs w:val="24"/>
          <w:u w:val="single"/>
          <w:lang w:val="ro-RO"/>
        </w:rPr>
        <w:t xml:space="preserve">. </w:t>
      </w:r>
      <w:r w:rsidR="00B23684" w:rsidRPr="00107624">
        <w:rPr>
          <w:rFonts w:cs="Times New Roman"/>
          <w:b/>
          <w:szCs w:val="24"/>
          <w:u w:val="single"/>
          <w:lang w:val="ro-RO"/>
        </w:rPr>
        <w:t>Cumulul</w:t>
      </w:r>
      <w:r w:rsidR="00B23684" w:rsidRPr="00107624">
        <w:rPr>
          <w:rFonts w:cs="Times New Roman"/>
          <w:szCs w:val="24"/>
          <w:lang w:val="ro-RO"/>
        </w:rPr>
        <w:t xml:space="preserve"> </w:t>
      </w:r>
    </w:p>
    <w:p w14:paraId="6BB79923" w14:textId="77777777" w:rsidR="00B81C7F" w:rsidRPr="00107624" w:rsidRDefault="00B81C7F" w:rsidP="00B23684">
      <w:pPr>
        <w:shd w:val="clear" w:color="auto" w:fill="FFFFFF"/>
        <w:spacing w:after="0" w:line="240" w:lineRule="auto"/>
        <w:jc w:val="both"/>
        <w:rPr>
          <w:rFonts w:cs="Times New Roman"/>
          <w:szCs w:val="24"/>
          <w:lang w:val="ro-RO"/>
        </w:rPr>
      </w:pPr>
    </w:p>
    <w:tbl>
      <w:tblPr>
        <w:tblStyle w:val="TableGrid"/>
        <w:tblW w:w="10031" w:type="dxa"/>
        <w:tblLook w:val="04A0" w:firstRow="1" w:lastRow="0" w:firstColumn="1" w:lastColumn="0" w:noHBand="0" w:noVBand="1"/>
      </w:tblPr>
      <w:tblGrid>
        <w:gridCol w:w="10031"/>
      </w:tblGrid>
      <w:tr w:rsidR="00107624" w:rsidRPr="00107624" w14:paraId="1E7F5066" w14:textId="77777777" w:rsidTr="008C26EA">
        <w:tc>
          <w:tcPr>
            <w:tcW w:w="10031" w:type="dxa"/>
          </w:tcPr>
          <w:p w14:paraId="6BAE7304" w14:textId="7DB77197" w:rsidR="00B81C7F" w:rsidRPr="00107624" w:rsidRDefault="00CB1E2F" w:rsidP="0060524E">
            <w:pPr>
              <w:jc w:val="both"/>
              <w:rPr>
                <w:rFonts w:cs="Times New Roman"/>
                <w:i/>
                <w:szCs w:val="24"/>
                <w:lang w:val="fr-FR"/>
              </w:rPr>
            </w:pPr>
            <w:r w:rsidRPr="00107624">
              <w:rPr>
                <w:rFonts w:cs="Times New Roman"/>
                <w:i/>
                <w:szCs w:val="24"/>
                <w:lang w:val="fr-FR"/>
              </w:rPr>
              <w:t xml:space="preserve">Se va </w:t>
            </w:r>
            <w:proofErr w:type="spellStart"/>
            <w:r w:rsidR="00A0241C">
              <w:rPr>
                <w:rFonts w:cs="Times New Roman"/>
                <w:i/>
                <w:szCs w:val="24"/>
                <w:lang w:val="fr-FR"/>
              </w:rPr>
              <w:t>completa</w:t>
            </w:r>
            <w:proofErr w:type="spellEnd"/>
            <w:r w:rsidR="00A0241C">
              <w:rPr>
                <w:rFonts w:cs="Times New Roman"/>
                <w:i/>
                <w:szCs w:val="24"/>
                <w:lang w:val="fr-FR"/>
              </w:rPr>
              <w:t xml:space="preserve"> </w:t>
            </w:r>
            <w:proofErr w:type="spellStart"/>
            <w:r w:rsidR="00A0241C">
              <w:rPr>
                <w:rFonts w:cs="Times New Roman"/>
                <w:i/>
                <w:szCs w:val="24"/>
                <w:lang w:val="fr-FR"/>
              </w:rPr>
              <w:t>în</w:t>
            </w:r>
            <w:proofErr w:type="spellEnd"/>
            <w:r w:rsidR="00A0241C">
              <w:rPr>
                <w:rFonts w:cs="Times New Roman"/>
                <w:i/>
                <w:szCs w:val="24"/>
                <w:lang w:val="fr-FR"/>
              </w:rPr>
              <w:t xml:space="preserve"> </w:t>
            </w:r>
            <w:proofErr w:type="spellStart"/>
            <w:r w:rsidR="00A0241C">
              <w:rPr>
                <w:rFonts w:cs="Times New Roman"/>
                <w:i/>
                <w:szCs w:val="24"/>
                <w:lang w:val="fr-FR"/>
              </w:rPr>
              <w:t>tabelul</w:t>
            </w:r>
            <w:proofErr w:type="spellEnd"/>
            <w:r w:rsidR="00A0241C">
              <w:rPr>
                <w:rFonts w:cs="Times New Roman"/>
                <w:i/>
                <w:szCs w:val="24"/>
                <w:lang w:val="fr-FR"/>
              </w:rPr>
              <w:t xml:space="preserve"> </w:t>
            </w:r>
            <w:proofErr w:type="spellStart"/>
            <w:r w:rsidR="00A0241C">
              <w:rPr>
                <w:rFonts w:cs="Times New Roman"/>
                <w:i/>
                <w:szCs w:val="24"/>
                <w:lang w:val="fr-FR"/>
              </w:rPr>
              <w:t>următor</w:t>
            </w:r>
            <w:proofErr w:type="spellEnd"/>
            <w:r w:rsidRPr="00107624">
              <w:rPr>
                <w:rFonts w:cs="Times New Roman"/>
                <w:i/>
                <w:szCs w:val="24"/>
                <w:lang w:val="fr-FR"/>
              </w:rPr>
              <w:t xml:space="preserve"> </w:t>
            </w:r>
            <w:proofErr w:type="spellStart"/>
            <w:r w:rsidRPr="00107624">
              <w:rPr>
                <w:rFonts w:cs="Times New Roman"/>
                <w:i/>
                <w:szCs w:val="24"/>
                <w:lang w:val="fr-FR"/>
              </w:rPr>
              <w:t>dacă</w:t>
            </w:r>
            <w:proofErr w:type="spellEnd"/>
            <w:r w:rsidRPr="00107624">
              <w:rPr>
                <w:rFonts w:cs="Times New Roman"/>
                <w:i/>
                <w:szCs w:val="24"/>
                <w:lang w:val="fr-FR"/>
              </w:rPr>
              <w:t xml:space="preserve"> </w:t>
            </w:r>
            <w:proofErr w:type="spellStart"/>
            <w:r w:rsidRPr="00107624">
              <w:rPr>
                <w:rFonts w:cs="Times New Roman"/>
                <w:i/>
                <w:szCs w:val="24"/>
                <w:lang w:val="fr-FR"/>
              </w:rPr>
              <w:t>solicitantul</w:t>
            </w:r>
            <w:proofErr w:type="spellEnd"/>
            <w:r w:rsidRPr="00107624">
              <w:rPr>
                <w:rFonts w:cs="Times New Roman"/>
                <w:i/>
                <w:szCs w:val="24"/>
                <w:lang w:val="fr-FR"/>
              </w:rPr>
              <w:t xml:space="preserve"> a mai </w:t>
            </w:r>
            <w:proofErr w:type="spellStart"/>
            <w:r w:rsidRPr="00107624">
              <w:rPr>
                <w:rFonts w:cs="Times New Roman"/>
                <w:i/>
                <w:szCs w:val="24"/>
                <w:lang w:val="fr-FR"/>
              </w:rPr>
              <w:t>obţinut</w:t>
            </w:r>
            <w:proofErr w:type="spellEnd"/>
            <w:r w:rsidRPr="00107624">
              <w:rPr>
                <w:rFonts w:cs="Times New Roman"/>
                <w:i/>
                <w:szCs w:val="24"/>
                <w:lang w:val="fr-FR"/>
              </w:rPr>
              <w:t xml:space="preserve"> </w:t>
            </w:r>
            <w:proofErr w:type="spellStart"/>
            <w:r w:rsidRPr="00107624">
              <w:rPr>
                <w:rFonts w:cs="Times New Roman"/>
                <w:i/>
                <w:szCs w:val="24"/>
                <w:lang w:val="fr-FR"/>
              </w:rPr>
              <w:t>ajutor</w:t>
            </w:r>
            <w:proofErr w:type="spellEnd"/>
            <w:r w:rsidRPr="00107624">
              <w:rPr>
                <w:rFonts w:cs="Times New Roman"/>
                <w:i/>
                <w:szCs w:val="24"/>
                <w:lang w:val="fr-FR"/>
              </w:rPr>
              <w:t xml:space="preserve"> de stat</w:t>
            </w:r>
            <w:r w:rsidR="00E6278D">
              <w:rPr>
                <w:rFonts w:cs="Times New Roman"/>
                <w:i/>
                <w:szCs w:val="24"/>
                <w:lang w:val="fr-FR"/>
              </w:rPr>
              <w:t xml:space="preserve"> </w:t>
            </w:r>
            <w:proofErr w:type="spellStart"/>
            <w:r w:rsidR="00E6278D">
              <w:rPr>
                <w:rFonts w:cs="Times New Roman"/>
                <w:i/>
                <w:szCs w:val="24"/>
                <w:lang w:val="fr-FR"/>
              </w:rPr>
              <w:t>sau</w:t>
            </w:r>
            <w:proofErr w:type="spellEnd"/>
            <w:r w:rsidR="00E6278D">
              <w:rPr>
                <w:rFonts w:cs="Times New Roman"/>
                <w:i/>
                <w:szCs w:val="24"/>
                <w:lang w:val="fr-FR"/>
              </w:rPr>
              <w:t xml:space="preserve"> minimis</w:t>
            </w:r>
            <w:r w:rsidRPr="00107624">
              <w:rPr>
                <w:rFonts w:cs="Times New Roman"/>
                <w:i/>
                <w:szCs w:val="24"/>
                <w:lang w:val="fr-FR"/>
              </w:rPr>
              <w:t xml:space="preserve">/este </w:t>
            </w:r>
            <w:proofErr w:type="spellStart"/>
            <w:r w:rsidR="007B71FF">
              <w:rPr>
                <w:rFonts w:cs="Times New Roman"/>
                <w:i/>
                <w:szCs w:val="24"/>
                <w:lang w:val="fr-FR"/>
              </w:rPr>
              <w:t>î</w:t>
            </w:r>
            <w:r w:rsidRPr="00107624">
              <w:rPr>
                <w:rFonts w:cs="Times New Roman"/>
                <w:i/>
                <w:szCs w:val="24"/>
                <w:lang w:val="fr-FR"/>
              </w:rPr>
              <w:t>n</w:t>
            </w:r>
            <w:proofErr w:type="spellEnd"/>
            <w:r w:rsidRPr="00107624">
              <w:rPr>
                <w:rFonts w:cs="Times New Roman"/>
                <w:i/>
                <w:szCs w:val="24"/>
                <w:lang w:val="fr-FR"/>
              </w:rPr>
              <w:t xml:space="preserve"> </w:t>
            </w:r>
            <w:proofErr w:type="spellStart"/>
            <w:r w:rsidR="003A6D6F" w:rsidRPr="00107624">
              <w:rPr>
                <w:rFonts w:cs="Times New Roman"/>
                <w:i/>
                <w:szCs w:val="24"/>
                <w:lang w:val="fr-FR"/>
              </w:rPr>
              <w:t>curs</w:t>
            </w:r>
            <w:proofErr w:type="spellEnd"/>
            <w:r w:rsidR="003A6D6F" w:rsidRPr="00107624">
              <w:rPr>
                <w:rFonts w:cs="Times New Roman"/>
                <w:i/>
                <w:szCs w:val="24"/>
                <w:lang w:val="fr-FR"/>
              </w:rPr>
              <w:t xml:space="preserve"> de </w:t>
            </w:r>
            <w:proofErr w:type="spellStart"/>
            <w:r w:rsidR="003A6D6F" w:rsidRPr="00107624">
              <w:rPr>
                <w:rFonts w:cs="Times New Roman"/>
                <w:i/>
                <w:szCs w:val="24"/>
                <w:lang w:val="fr-FR"/>
              </w:rPr>
              <w:t>obţinere</w:t>
            </w:r>
            <w:proofErr w:type="spellEnd"/>
            <w:r w:rsidR="003A6D6F" w:rsidRPr="00107624">
              <w:rPr>
                <w:rFonts w:cs="Times New Roman"/>
                <w:i/>
                <w:szCs w:val="24"/>
                <w:lang w:val="fr-FR"/>
              </w:rPr>
              <w:t xml:space="preserve"> </w:t>
            </w:r>
            <w:proofErr w:type="spellStart"/>
            <w:r w:rsidR="003A6D6F" w:rsidRPr="00107624">
              <w:rPr>
                <w:rFonts w:cs="Times New Roman"/>
                <w:i/>
                <w:szCs w:val="24"/>
                <w:lang w:val="fr-FR"/>
              </w:rPr>
              <w:t>ajutor</w:t>
            </w:r>
            <w:proofErr w:type="spellEnd"/>
            <w:r w:rsidR="003A6D6F" w:rsidRPr="00107624">
              <w:rPr>
                <w:rFonts w:cs="Times New Roman"/>
                <w:i/>
                <w:szCs w:val="24"/>
                <w:lang w:val="fr-FR"/>
              </w:rPr>
              <w:t xml:space="preserve"> de stat</w:t>
            </w:r>
            <w:r w:rsidR="00E6278D">
              <w:rPr>
                <w:rFonts w:cs="Times New Roman"/>
                <w:i/>
                <w:szCs w:val="24"/>
                <w:lang w:val="fr-FR"/>
              </w:rPr>
              <w:t xml:space="preserve"> </w:t>
            </w:r>
            <w:proofErr w:type="spellStart"/>
            <w:r w:rsidR="00E6278D">
              <w:rPr>
                <w:rFonts w:cs="Times New Roman"/>
                <w:i/>
                <w:szCs w:val="24"/>
                <w:lang w:val="fr-FR"/>
              </w:rPr>
              <w:t>sau</w:t>
            </w:r>
            <w:proofErr w:type="spellEnd"/>
            <w:r w:rsidR="00E6278D">
              <w:rPr>
                <w:rFonts w:cs="Times New Roman"/>
                <w:i/>
                <w:szCs w:val="24"/>
                <w:lang w:val="fr-FR"/>
              </w:rPr>
              <w:t xml:space="preserve"> minimis</w:t>
            </w:r>
            <w:r w:rsidR="007216FF">
              <w:rPr>
                <w:rFonts w:cs="Times New Roman"/>
                <w:i/>
                <w:szCs w:val="24"/>
                <w:lang w:val="fr-FR"/>
              </w:rPr>
              <w:t xml:space="preserve"> </w:t>
            </w:r>
            <w:proofErr w:type="spellStart"/>
            <w:r w:rsidR="007216FF">
              <w:rPr>
                <w:rFonts w:cs="Times New Roman"/>
                <w:i/>
                <w:szCs w:val="24"/>
                <w:lang w:val="fr-FR"/>
              </w:rPr>
              <w:t>pentru</w:t>
            </w:r>
            <w:proofErr w:type="spellEnd"/>
            <w:r w:rsidR="007216FF">
              <w:rPr>
                <w:rFonts w:cs="Times New Roman"/>
                <w:i/>
                <w:szCs w:val="24"/>
                <w:lang w:val="fr-FR"/>
              </w:rPr>
              <w:t xml:space="preserve"> </w:t>
            </w:r>
            <w:proofErr w:type="spellStart"/>
            <w:r w:rsidR="007216FF">
              <w:rPr>
                <w:rFonts w:cs="Times New Roman"/>
                <w:i/>
                <w:szCs w:val="24"/>
                <w:lang w:val="fr-FR"/>
              </w:rPr>
              <w:t>acela</w:t>
            </w:r>
            <w:r w:rsidR="007B71FF">
              <w:rPr>
                <w:rFonts w:cs="Times New Roman"/>
                <w:i/>
                <w:szCs w:val="24"/>
                <w:lang w:val="fr-FR"/>
              </w:rPr>
              <w:t>ș</w:t>
            </w:r>
            <w:r w:rsidR="007216FF">
              <w:rPr>
                <w:rFonts w:cs="Times New Roman"/>
                <w:i/>
                <w:szCs w:val="24"/>
                <w:lang w:val="fr-FR"/>
              </w:rPr>
              <w:t>i</w:t>
            </w:r>
            <w:proofErr w:type="spellEnd"/>
            <w:r w:rsidR="007216FF">
              <w:rPr>
                <w:rFonts w:cs="Times New Roman"/>
                <w:i/>
                <w:szCs w:val="24"/>
                <w:lang w:val="fr-FR"/>
              </w:rPr>
              <w:t xml:space="preserve"> </w:t>
            </w:r>
            <w:proofErr w:type="spellStart"/>
            <w:r w:rsidR="007216FF">
              <w:rPr>
                <w:rFonts w:cs="Times New Roman"/>
                <w:i/>
                <w:szCs w:val="24"/>
                <w:lang w:val="fr-FR"/>
              </w:rPr>
              <w:t>proiect</w:t>
            </w:r>
            <w:proofErr w:type="spellEnd"/>
            <w:r w:rsidR="007216FF">
              <w:rPr>
                <w:rFonts w:cs="Times New Roman"/>
                <w:i/>
                <w:szCs w:val="24"/>
                <w:lang w:val="fr-FR"/>
              </w:rPr>
              <w:t xml:space="preserve"> de </w:t>
            </w:r>
            <w:proofErr w:type="spellStart"/>
            <w:r w:rsidR="007216FF">
              <w:rPr>
                <w:rFonts w:cs="Times New Roman"/>
                <w:i/>
                <w:szCs w:val="24"/>
                <w:lang w:val="fr-FR"/>
              </w:rPr>
              <w:t>eficien</w:t>
            </w:r>
            <w:r w:rsidR="007B71FF">
              <w:rPr>
                <w:rFonts w:cs="Times New Roman"/>
                <w:i/>
                <w:szCs w:val="24"/>
                <w:lang w:val="fr-FR"/>
              </w:rPr>
              <w:t>ță</w:t>
            </w:r>
            <w:proofErr w:type="spellEnd"/>
            <w:r w:rsidR="007216FF">
              <w:rPr>
                <w:rFonts w:cs="Times New Roman"/>
                <w:i/>
                <w:szCs w:val="24"/>
                <w:lang w:val="fr-FR"/>
              </w:rPr>
              <w:t xml:space="preserve"> </w:t>
            </w:r>
            <w:proofErr w:type="spellStart"/>
            <w:r w:rsidR="007216FF">
              <w:rPr>
                <w:rFonts w:cs="Times New Roman"/>
                <w:i/>
                <w:szCs w:val="24"/>
                <w:lang w:val="fr-FR"/>
              </w:rPr>
              <w:t>energetică</w:t>
            </w:r>
            <w:proofErr w:type="spellEnd"/>
            <w:r w:rsidR="003A6D6F" w:rsidRPr="00107624">
              <w:rPr>
                <w:rFonts w:cs="Times New Roman"/>
                <w:i/>
                <w:szCs w:val="24"/>
                <w:lang w:val="fr-FR"/>
              </w:rPr>
              <w:t>.</w:t>
            </w:r>
          </w:p>
        </w:tc>
      </w:tr>
    </w:tbl>
    <w:p w14:paraId="5B64B04D" w14:textId="77777777" w:rsidR="00B1772C" w:rsidRPr="00107624" w:rsidRDefault="00B1772C" w:rsidP="008F7BA4">
      <w:pPr>
        <w:shd w:val="clear" w:color="auto" w:fill="FFFFFF"/>
        <w:spacing w:after="0" w:line="240" w:lineRule="auto"/>
        <w:jc w:val="both"/>
        <w:rPr>
          <w:rFonts w:cs="Times New Roman"/>
          <w:b/>
          <w:i/>
          <w:noProof/>
          <w:szCs w:val="24"/>
          <w:lang w:val="ro-RO"/>
        </w:rPr>
      </w:pPr>
    </w:p>
    <w:p w14:paraId="48F6229F" w14:textId="77777777" w:rsidR="000D0420" w:rsidRPr="00107624" w:rsidRDefault="000D0420" w:rsidP="008F7BA4">
      <w:pPr>
        <w:shd w:val="clear" w:color="auto" w:fill="FFFFFF"/>
        <w:spacing w:after="0" w:line="240" w:lineRule="auto"/>
        <w:jc w:val="both"/>
        <w:rPr>
          <w:rFonts w:cs="Times New Roman"/>
          <w:b/>
          <w:i/>
          <w:noProof/>
          <w:szCs w:val="24"/>
          <w:lang w:val="ro-RO"/>
        </w:rPr>
      </w:pPr>
    </w:p>
    <w:p w14:paraId="259AFEE9" w14:textId="77777777" w:rsidR="000D0420" w:rsidRPr="00107624" w:rsidRDefault="000D0420" w:rsidP="008F7BA4">
      <w:pPr>
        <w:shd w:val="clear" w:color="auto" w:fill="FFFFFF"/>
        <w:spacing w:after="0" w:line="240" w:lineRule="auto"/>
        <w:jc w:val="both"/>
        <w:rPr>
          <w:rFonts w:cs="Times New Roman"/>
          <w:b/>
          <w:i/>
          <w:noProof/>
          <w:szCs w:val="24"/>
          <w:lang w:val="ro-RO"/>
        </w:rPr>
      </w:pPr>
    </w:p>
    <w:p w14:paraId="181427A0" w14:textId="77777777" w:rsidR="000D0420" w:rsidRPr="00107624" w:rsidRDefault="000D0420" w:rsidP="000D0420">
      <w:pPr>
        <w:widowControl w:val="0"/>
        <w:autoSpaceDE w:val="0"/>
        <w:autoSpaceDN w:val="0"/>
        <w:spacing w:after="0" w:line="240" w:lineRule="auto"/>
        <w:rPr>
          <w:rFonts w:eastAsia="Times New Roman" w:cs="Times New Roman"/>
          <w:b/>
          <w:iCs/>
          <w:szCs w:val="24"/>
          <w:lang w:val="ro-RO"/>
        </w:rPr>
      </w:pPr>
    </w:p>
    <w:p w14:paraId="5840D0F5" w14:textId="7F9F0A9D" w:rsidR="000D0420" w:rsidRPr="00107624" w:rsidRDefault="000D0420" w:rsidP="000D0420">
      <w:pPr>
        <w:widowControl w:val="0"/>
        <w:autoSpaceDE w:val="0"/>
        <w:autoSpaceDN w:val="0"/>
        <w:spacing w:after="0" w:line="240" w:lineRule="auto"/>
        <w:ind w:left="696"/>
        <w:rPr>
          <w:rFonts w:eastAsia="Times New Roman" w:cs="Times New Roman"/>
          <w:b/>
          <w:szCs w:val="24"/>
          <w:lang w:val="ro-RO"/>
        </w:rPr>
      </w:pPr>
      <w:r w:rsidRPr="00107624">
        <w:rPr>
          <w:rFonts w:eastAsia="Times New Roman" w:cs="Times New Roman"/>
          <w:b/>
          <w:szCs w:val="24"/>
          <w:lang w:val="ro-RO"/>
        </w:rPr>
        <w:lastRenderedPageBreak/>
        <w:t xml:space="preserve">Finanțare obținută din </w:t>
      </w:r>
      <w:r w:rsidR="0060524E">
        <w:rPr>
          <w:rFonts w:eastAsia="Times New Roman" w:cs="Times New Roman"/>
          <w:b/>
          <w:szCs w:val="24"/>
          <w:lang w:val="ro-RO"/>
        </w:rPr>
        <w:t>ajutor de stat</w:t>
      </w:r>
      <w:r w:rsidR="006A3CEA">
        <w:rPr>
          <w:rFonts w:eastAsia="Times New Roman" w:cs="Times New Roman"/>
          <w:b/>
          <w:szCs w:val="24"/>
          <w:lang w:val="ro-RO"/>
        </w:rPr>
        <w:t>/de minimis</w:t>
      </w:r>
      <w:r w:rsidR="0060524E">
        <w:rPr>
          <w:rFonts w:eastAsia="Times New Roman" w:cs="Times New Roman"/>
          <w:b/>
          <w:szCs w:val="24"/>
          <w:lang w:val="ro-RO"/>
        </w:rPr>
        <w:t xml:space="preserve"> (</w:t>
      </w:r>
      <w:r w:rsidRPr="00107624">
        <w:rPr>
          <w:rFonts w:eastAsia="Times New Roman" w:cs="Times New Roman"/>
          <w:b/>
          <w:szCs w:val="24"/>
          <w:lang w:val="ro-RO"/>
        </w:rPr>
        <w:t>fonduri publice</w:t>
      </w:r>
      <w:r w:rsidR="0060524E">
        <w:rPr>
          <w:rFonts w:eastAsia="Times New Roman" w:cs="Times New Roman"/>
          <w:b/>
          <w:szCs w:val="24"/>
          <w:lang w:val="ro-RO"/>
        </w:rPr>
        <w:t>)</w:t>
      </w:r>
      <w:r w:rsidRPr="00107624">
        <w:rPr>
          <w:rFonts w:eastAsia="Times New Roman" w:cs="Times New Roman"/>
          <w:b/>
          <w:szCs w:val="24"/>
          <w:lang w:val="ro-RO"/>
        </w:rPr>
        <w:t>, inclusiv anul în curs (total):</w:t>
      </w:r>
    </w:p>
    <w:tbl>
      <w:tblPr>
        <w:tblStyle w:val="TableGrid2"/>
        <w:tblW w:w="0" w:type="auto"/>
        <w:tblInd w:w="696" w:type="dxa"/>
        <w:tblLook w:val="04A0" w:firstRow="1" w:lastRow="0" w:firstColumn="1" w:lastColumn="0" w:noHBand="0" w:noVBand="1"/>
      </w:tblPr>
      <w:tblGrid>
        <w:gridCol w:w="9194"/>
      </w:tblGrid>
      <w:tr w:rsidR="00107624" w:rsidRPr="00107624" w14:paraId="2D801EF1" w14:textId="77777777" w:rsidTr="00404383">
        <w:tc>
          <w:tcPr>
            <w:tcW w:w="10695" w:type="dxa"/>
          </w:tcPr>
          <w:p w14:paraId="499D2ACF" w14:textId="77777777" w:rsidR="000D0420" w:rsidRPr="00107624" w:rsidRDefault="000D0420" w:rsidP="000D0420">
            <w:pPr>
              <w:rPr>
                <w:rFonts w:eastAsia="Times New Roman" w:cs="Times New Roman"/>
                <w:b/>
                <w:szCs w:val="24"/>
                <w:lang w:val="ro-RO"/>
              </w:rPr>
            </w:pPr>
            <w:r w:rsidRPr="00107624">
              <w:rPr>
                <w:rFonts w:eastAsia="Times New Roman" w:cs="Times New Roman"/>
                <w:b/>
                <w:szCs w:val="24"/>
                <w:lang w:val="ro-RO"/>
              </w:rPr>
              <w:t>Total euro</w:t>
            </w:r>
          </w:p>
        </w:tc>
      </w:tr>
      <w:tr w:rsidR="000D0420" w:rsidRPr="00107624" w14:paraId="70954AC9" w14:textId="77777777" w:rsidTr="00404383">
        <w:tc>
          <w:tcPr>
            <w:tcW w:w="10695" w:type="dxa"/>
          </w:tcPr>
          <w:p w14:paraId="272FD1ED" w14:textId="77777777" w:rsidR="000D0420" w:rsidRPr="00107624" w:rsidRDefault="000D0420" w:rsidP="000D0420">
            <w:pPr>
              <w:rPr>
                <w:rFonts w:eastAsia="Times New Roman" w:cs="Times New Roman"/>
                <w:b/>
                <w:szCs w:val="24"/>
                <w:lang w:val="ro-RO"/>
              </w:rPr>
            </w:pPr>
            <w:r w:rsidRPr="00107624">
              <w:rPr>
                <w:rFonts w:eastAsia="Times New Roman" w:cs="Times New Roman"/>
                <w:b/>
                <w:szCs w:val="24"/>
                <w:lang w:val="ro-RO"/>
              </w:rPr>
              <w:t>Total lei</w:t>
            </w:r>
          </w:p>
        </w:tc>
      </w:tr>
    </w:tbl>
    <w:p w14:paraId="2A62EB1F" w14:textId="77777777" w:rsidR="000D0420" w:rsidRPr="00107624" w:rsidRDefault="000D0420" w:rsidP="000D0420">
      <w:pPr>
        <w:widowControl w:val="0"/>
        <w:autoSpaceDE w:val="0"/>
        <w:autoSpaceDN w:val="0"/>
        <w:spacing w:after="0" w:line="240" w:lineRule="auto"/>
        <w:ind w:left="696"/>
        <w:rPr>
          <w:rFonts w:eastAsia="Times New Roman" w:cs="Times New Roman"/>
          <w:b/>
          <w:szCs w:val="24"/>
          <w:lang w:val="ro-RO"/>
        </w:rPr>
      </w:pPr>
    </w:p>
    <w:p w14:paraId="2FE2BF88" w14:textId="77777777" w:rsidR="000D0420" w:rsidRPr="00107624" w:rsidRDefault="000D0420" w:rsidP="000D0420">
      <w:pPr>
        <w:widowControl w:val="0"/>
        <w:autoSpaceDE w:val="0"/>
        <w:autoSpaceDN w:val="0"/>
        <w:spacing w:after="0" w:line="240" w:lineRule="auto"/>
        <w:ind w:left="696"/>
        <w:rPr>
          <w:rFonts w:eastAsia="Times New Roman" w:cs="Times New Roman"/>
          <w:b/>
          <w:szCs w:val="24"/>
          <w:lang w:val="ro-RO"/>
        </w:rPr>
      </w:pPr>
      <w:r w:rsidRPr="00107624">
        <w:rPr>
          <w:rFonts w:eastAsia="Times New Roman" w:cs="Times New Roman"/>
          <w:b/>
          <w:szCs w:val="24"/>
          <w:lang w:val="ro-RO"/>
        </w:rPr>
        <w:t xml:space="preserve">Denumire programe de finanțare </w:t>
      </w:r>
    </w:p>
    <w:p w14:paraId="28DA91E2" w14:textId="77777777" w:rsidR="000D0420" w:rsidRPr="00107624" w:rsidRDefault="000D0420" w:rsidP="000D0420">
      <w:pPr>
        <w:widowControl w:val="0"/>
        <w:autoSpaceDE w:val="0"/>
        <w:autoSpaceDN w:val="0"/>
        <w:spacing w:after="0" w:line="240" w:lineRule="auto"/>
        <w:ind w:left="696"/>
        <w:rPr>
          <w:rFonts w:eastAsia="Times New Roman" w:cs="Times New Roman"/>
          <w:b/>
          <w:szCs w:val="24"/>
          <w:lang w:val="ro-RO"/>
        </w:rPr>
      </w:pPr>
      <w:r w:rsidRPr="00107624">
        <w:rPr>
          <w:rFonts w:eastAsia="Times New Roman" w:cs="Times New Roman"/>
          <w:b/>
          <w:szCs w:val="24"/>
          <w:lang w:val="ro-RO"/>
        </w:rPr>
        <w:t>Moneda – lei</w:t>
      </w:r>
    </w:p>
    <w:tbl>
      <w:tblPr>
        <w:tblStyle w:val="TableGrid2"/>
        <w:tblW w:w="0" w:type="auto"/>
        <w:tblInd w:w="696" w:type="dxa"/>
        <w:tblLook w:val="04A0" w:firstRow="1" w:lastRow="0" w:firstColumn="1" w:lastColumn="0" w:noHBand="0" w:noVBand="1"/>
      </w:tblPr>
      <w:tblGrid>
        <w:gridCol w:w="1169"/>
        <w:gridCol w:w="1272"/>
        <w:gridCol w:w="1235"/>
        <w:gridCol w:w="1279"/>
        <w:gridCol w:w="1334"/>
        <w:gridCol w:w="1670"/>
        <w:gridCol w:w="1235"/>
      </w:tblGrid>
      <w:tr w:rsidR="00107624" w:rsidRPr="00107624" w14:paraId="58698733" w14:textId="77777777" w:rsidTr="00563739">
        <w:trPr>
          <w:trHeight w:val="1384"/>
        </w:trPr>
        <w:tc>
          <w:tcPr>
            <w:tcW w:w="1527" w:type="dxa"/>
          </w:tcPr>
          <w:p w14:paraId="641B5DE5" w14:textId="77777777" w:rsidR="000D0420" w:rsidRPr="00563739" w:rsidRDefault="000D0420" w:rsidP="000D0420">
            <w:pPr>
              <w:rPr>
                <w:rFonts w:eastAsia="Times New Roman" w:cs="Times New Roman"/>
                <w:b/>
                <w:sz w:val="16"/>
                <w:szCs w:val="16"/>
                <w:lang w:val="ro-RO"/>
              </w:rPr>
            </w:pPr>
            <w:r w:rsidRPr="00563739">
              <w:rPr>
                <w:rFonts w:eastAsia="Times New Roman" w:cs="Times New Roman"/>
                <w:b/>
                <w:i/>
                <w:sz w:val="16"/>
                <w:szCs w:val="16"/>
                <w:lang w:val="ro-RO"/>
              </w:rPr>
              <w:t>Cod</w:t>
            </w:r>
            <w:r w:rsidRPr="00563739">
              <w:rPr>
                <w:rFonts w:eastAsia="Times New Roman" w:cs="Times New Roman"/>
                <w:b/>
                <w:i/>
                <w:spacing w:val="1"/>
                <w:sz w:val="16"/>
                <w:szCs w:val="16"/>
                <w:lang w:val="ro-RO"/>
              </w:rPr>
              <w:t xml:space="preserve"> </w:t>
            </w:r>
            <w:r w:rsidRPr="00563739">
              <w:rPr>
                <w:rFonts w:eastAsia="Times New Roman" w:cs="Times New Roman"/>
                <w:b/>
                <w:i/>
                <w:sz w:val="16"/>
                <w:szCs w:val="16"/>
                <w:lang w:val="ro-RO"/>
              </w:rPr>
              <w:t>SMIS</w:t>
            </w:r>
          </w:p>
        </w:tc>
        <w:tc>
          <w:tcPr>
            <w:tcW w:w="1528" w:type="dxa"/>
          </w:tcPr>
          <w:p w14:paraId="08EE0F62" w14:textId="77777777" w:rsidR="000D0420" w:rsidRPr="00563739" w:rsidRDefault="000D0420" w:rsidP="000D0420">
            <w:pPr>
              <w:spacing w:before="4"/>
              <w:rPr>
                <w:rFonts w:eastAsia="Times New Roman" w:cs="Times New Roman"/>
                <w:b/>
                <w:i/>
                <w:sz w:val="16"/>
                <w:szCs w:val="16"/>
                <w:lang w:val="ro-RO"/>
              </w:rPr>
            </w:pPr>
            <w:r w:rsidRPr="00563739">
              <w:rPr>
                <w:rFonts w:eastAsia="Times New Roman" w:cs="Times New Roman"/>
                <w:b/>
                <w:i/>
                <w:sz w:val="16"/>
                <w:szCs w:val="16"/>
                <w:lang w:val="ro-RO"/>
              </w:rPr>
              <w:t>Titlu/</w:t>
            </w:r>
          </w:p>
          <w:p w14:paraId="2FD0D960" w14:textId="77777777" w:rsidR="000D0420" w:rsidRPr="00563739" w:rsidRDefault="000D0420" w:rsidP="000D0420">
            <w:pPr>
              <w:rPr>
                <w:rFonts w:eastAsia="Times New Roman" w:cs="Times New Roman"/>
                <w:b/>
                <w:sz w:val="16"/>
                <w:szCs w:val="16"/>
                <w:lang w:val="ro-RO"/>
              </w:rPr>
            </w:pPr>
            <w:r w:rsidRPr="00563739">
              <w:rPr>
                <w:rFonts w:eastAsia="Times New Roman" w:cs="Times New Roman"/>
                <w:b/>
                <w:i/>
                <w:sz w:val="16"/>
                <w:szCs w:val="16"/>
                <w:lang w:val="ro-RO"/>
              </w:rPr>
              <w:t>denumire program, (act normativ)</w:t>
            </w:r>
          </w:p>
        </w:tc>
        <w:tc>
          <w:tcPr>
            <w:tcW w:w="1528" w:type="dxa"/>
          </w:tcPr>
          <w:p w14:paraId="7A30093E" w14:textId="6D4F6843" w:rsidR="000D0420" w:rsidRPr="00563739" w:rsidRDefault="000D0420" w:rsidP="000D0420">
            <w:pPr>
              <w:rPr>
                <w:rFonts w:eastAsia="Times New Roman" w:cs="Times New Roman"/>
                <w:b/>
                <w:sz w:val="16"/>
                <w:szCs w:val="16"/>
                <w:lang w:val="ro-RO"/>
              </w:rPr>
            </w:pPr>
            <w:r w:rsidRPr="00563739">
              <w:rPr>
                <w:rFonts w:eastAsia="Times New Roman" w:cs="Times New Roman"/>
                <w:b/>
                <w:i/>
                <w:sz w:val="16"/>
                <w:szCs w:val="16"/>
                <w:lang w:val="ro-RO"/>
              </w:rPr>
              <w:t>Valoare</w:t>
            </w:r>
            <w:r w:rsidRPr="00563739">
              <w:rPr>
                <w:rFonts w:eastAsia="Times New Roman" w:cs="Times New Roman"/>
                <w:b/>
                <w:i/>
                <w:spacing w:val="-42"/>
                <w:sz w:val="16"/>
                <w:szCs w:val="16"/>
                <w:lang w:val="ro-RO"/>
              </w:rPr>
              <w:t xml:space="preserve"> </w:t>
            </w:r>
            <w:r w:rsidR="00EB17C5" w:rsidRPr="00563739">
              <w:rPr>
                <w:rFonts w:eastAsia="Times New Roman" w:cs="Times New Roman"/>
                <w:b/>
                <w:i/>
                <w:sz w:val="16"/>
                <w:szCs w:val="16"/>
                <w:lang w:val="ro-RO"/>
              </w:rPr>
              <w:t>t</w:t>
            </w:r>
            <w:r w:rsidRPr="00563739">
              <w:rPr>
                <w:rFonts w:eastAsia="Times New Roman" w:cs="Times New Roman"/>
                <w:b/>
                <w:i/>
                <w:sz w:val="16"/>
                <w:szCs w:val="16"/>
                <w:lang w:val="ro-RO"/>
              </w:rPr>
              <w:t>otal</w:t>
            </w:r>
            <w:r w:rsidR="00EB17C5" w:rsidRPr="00563739">
              <w:rPr>
                <w:rFonts w:eastAsia="Times New Roman" w:cs="Times New Roman"/>
                <w:b/>
                <w:i/>
                <w:sz w:val="16"/>
                <w:szCs w:val="16"/>
                <w:lang w:val="ro-RO"/>
              </w:rPr>
              <w:t>ă</w:t>
            </w:r>
            <w:r w:rsidRPr="00563739">
              <w:rPr>
                <w:rFonts w:eastAsia="Times New Roman" w:cs="Times New Roman"/>
                <w:b/>
                <w:i/>
                <w:spacing w:val="1"/>
                <w:sz w:val="16"/>
                <w:szCs w:val="16"/>
                <w:lang w:val="ro-RO"/>
              </w:rPr>
              <w:t xml:space="preserve"> contract</w:t>
            </w:r>
          </w:p>
        </w:tc>
        <w:tc>
          <w:tcPr>
            <w:tcW w:w="1528" w:type="dxa"/>
          </w:tcPr>
          <w:p w14:paraId="1FDF99C5" w14:textId="1A5FD637" w:rsidR="000D0420" w:rsidRPr="00563739" w:rsidRDefault="000D0420" w:rsidP="000D0420">
            <w:pPr>
              <w:rPr>
                <w:rFonts w:eastAsia="Times New Roman" w:cs="Times New Roman"/>
                <w:b/>
                <w:sz w:val="16"/>
                <w:szCs w:val="16"/>
                <w:lang w:val="ro-RO"/>
              </w:rPr>
            </w:pPr>
            <w:r w:rsidRPr="00563739">
              <w:rPr>
                <w:rFonts w:eastAsia="Times New Roman" w:cs="Times New Roman"/>
                <w:b/>
                <w:i/>
                <w:sz w:val="16"/>
                <w:szCs w:val="16"/>
                <w:lang w:val="ro-RO"/>
              </w:rPr>
              <w:t>Sprijin</w:t>
            </w:r>
            <w:r w:rsidRPr="00563739">
              <w:rPr>
                <w:rFonts w:eastAsia="Times New Roman" w:cs="Times New Roman"/>
                <w:b/>
                <w:i/>
                <w:spacing w:val="1"/>
                <w:sz w:val="16"/>
                <w:szCs w:val="16"/>
                <w:lang w:val="ro-RO"/>
              </w:rPr>
              <w:t xml:space="preserve"> </w:t>
            </w:r>
            <w:r w:rsidR="00EB17C5" w:rsidRPr="00563739">
              <w:rPr>
                <w:rFonts w:eastAsia="Times New Roman" w:cs="Times New Roman"/>
                <w:b/>
                <w:i/>
                <w:sz w:val="16"/>
                <w:szCs w:val="16"/>
                <w:lang w:val="ro-RO"/>
              </w:rPr>
              <w:t>beneficiar</w:t>
            </w:r>
          </w:p>
        </w:tc>
        <w:tc>
          <w:tcPr>
            <w:tcW w:w="1528" w:type="dxa"/>
          </w:tcPr>
          <w:p w14:paraId="601AD2FC" w14:textId="67BCC21A" w:rsidR="000D0420" w:rsidRPr="00563739" w:rsidRDefault="000D0420" w:rsidP="000D0420">
            <w:pPr>
              <w:rPr>
                <w:rFonts w:eastAsia="Times New Roman" w:cs="Times New Roman"/>
                <w:b/>
                <w:sz w:val="16"/>
                <w:szCs w:val="16"/>
                <w:lang w:val="ro-RO"/>
              </w:rPr>
            </w:pPr>
            <w:r w:rsidRPr="00563739">
              <w:rPr>
                <w:rFonts w:eastAsia="Times New Roman" w:cs="Times New Roman"/>
                <w:b/>
                <w:i/>
                <w:spacing w:val="-1"/>
                <w:sz w:val="16"/>
                <w:szCs w:val="16"/>
                <w:lang w:val="ro-RO"/>
              </w:rPr>
              <w:t>Rambursare</w:t>
            </w:r>
            <w:r w:rsidRPr="00563739">
              <w:rPr>
                <w:rFonts w:eastAsia="Times New Roman" w:cs="Times New Roman"/>
                <w:b/>
                <w:i/>
                <w:spacing w:val="-42"/>
                <w:sz w:val="16"/>
                <w:szCs w:val="16"/>
                <w:lang w:val="ro-RO"/>
              </w:rPr>
              <w:t xml:space="preserve"> </w:t>
            </w:r>
            <w:r w:rsidR="00EB17C5" w:rsidRPr="00563739">
              <w:rPr>
                <w:rFonts w:eastAsia="Times New Roman" w:cs="Times New Roman"/>
                <w:b/>
                <w:i/>
                <w:spacing w:val="-42"/>
                <w:sz w:val="16"/>
                <w:szCs w:val="16"/>
                <w:lang w:val="ro-RO"/>
              </w:rPr>
              <w:t xml:space="preserve"> </w:t>
            </w:r>
            <w:r w:rsidR="00EB17C5" w:rsidRPr="00563739">
              <w:rPr>
                <w:rFonts w:eastAsia="Times New Roman" w:cs="Times New Roman"/>
                <w:b/>
                <w:i/>
                <w:sz w:val="16"/>
                <w:szCs w:val="16"/>
                <w:lang w:val="ro-RO"/>
              </w:rPr>
              <w:t>e</w:t>
            </w:r>
            <w:r w:rsidRPr="00563739">
              <w:rPr>
                <w:rFonts w:eastAsia="Times New Roman" w:cs="Times New Roman"/>
                <w:b/>
                <w:i/>
                <w:sz w:val="16"/>
                <w:szCs w:val="16"/>
                <w:lang w:val="ro-RO"/>
              </w:rPr>
              <w:t>fectiv</w:t>
            </w:r>
            <w:r w:rsidR="00EB17C5" w:rsidRPr="00563739">
              <w:rPr>
                <w:rFonts w:eastAsia="Times New Roman" w:cs="Times New Roman"/>
                <w:b/>
                <w:i/>
                <w:sz w:val="16"/>
                <w:szCs w:val="16"/>
                <w:lang w:val="ro-RO"/>
              </w:rPr>
              <w:t>ă</w:t>
            </w:r>
            <w:r w:rsidRPr="00563739">
              <w:rPr>
                <w:rFonts w:eastAsia="Times New Roman" w:cs="Times New Roman"/>
                <w:b/>
                <w:i/>
                <w:sz w:val="16"/>
                <w:szCs w:val="16"/>
                <w:lang w:val="ro-RO"/>
              </w:rPr>
              <w:t xml:space="preserve"> la momentul</w:t>
            </w:r>
            <w:r w:rsidR="00005D21">
              <w:rPr>
                <w:rFonts w:eastAsia="Times New Roman" w:cs="Times New Roman"/>
                <w:b/>
                <w:i/>
                <w:sz w:val="16"/>
                <w:szCs w:val="16"/>
                <w:lang w:val="ro-RO"/>
              </w:rPr>
              <w:t xml:space="preserve"> </w:t>
            </w:r>
            <w:r w:rsidR="00EB17C5" w:rsidRPr="00563739">
              <w:rPr>
                <w:rFonts w:eastAsia="Times New Roman" w:cs="Times New Roman"/>
                <w:b/>
                <w:i/>
                <w:sz w:val="16"/>
                <w:szCs w:val="16"/>
                <w:lang w:val="ro-RO"/>
              </w:rPr>
              <w:t>î</w:t>
            </w:r>
            <w:r w:rsidRPr="00563739">
              <w:rPr>
                <w:rFonts w:eastAsia="Times New Roman" w:cs="Times New Roman"/>
                <w:b/>
                <w:i/>
                <w:sz w:val="16"/>
                <w:szCs w:val="16"/>
                <w:lang w:val="ro-RO"/>
              </w:rPr>
              <w:t>nscrierii cererii de finan</w:t>
            </w:r>
            <w:r w:rsidR="00EB17C5" w:rsidRPr="00563739">
              <w:rPr>
                <w:rFonts w:eastAsia="Times New Roman" w:cs="Times New Roman"/>
                <w:b/>
                <w:i/>
                <w:sz w:val="16"/>
                <w:szCs w:val="16"/>
                <w:lang w:val="ro-RO"/>
              </w:rPr>
              <w:t>ț</w:t>
            </w:r>
            <w:r w:rsidRPr="00563739">
              <w:rPr>
                <w:rFonts w:eastAsia="Times New Roman" w:cs="Times New Roman"/>
                <w:b/>
                <w:i/>
                <w:sz w:val="16"/>
                <w:szCs w:val="16"/>
                <w:lang w:val="ro-RO"/>
              </w:rPr>
              <w:t xml:space="preserve">are din </w:t>
            </w:r>
            <w:r w:rsidR="00242C08" w:rsidRPr="00563739">
              <w:rPr>
                <w:rFonts w:eastAsia="Times New Roman" w:cs="Times New Roman"/>
                <w:b/>
                <w:i/>
                <w:sz w:val="16"/>
                <w:szCs w:val="16"/>
                <w:lang w:val="ro-RO"/>
              </w:rPr>
              <w:t>I5-</w:t>
            </w:r>
            <w:r w:rsidRPr="00563739">
              <w:rPr>
                <w:rFonts w:eastAsia="Times New Roman" w:cs="Times New Roman"/>
                <w:b/>
                <w:i/>
                <w:sz w:val="16"/>
                <w:szCs w:val="16"/>
                <w:lang w:val="ro-RO"/>
              </w:rPr>
              <w:t>PNRR</w:t>
            </w:r>
          </w:p>
        </w:tc>
        <w:tc>
          <w:tcPr>
            <w:tcW w:w="1528" w:type="dxa"/>
          </w:tcPr>
          <w:p w14:paraId="001D0523" w14:textId="0F0E71F0" w:rsidR="000D0420" w:rsidRPr="00563739" w:rsidRDefault="000D0420" w:rsidP="000D0420">
            <w:pPr>
              <w:rPr>
                <w:rFonts w:eastAsia="Times New Roman" w:cs="Times New Roman"/>
                <w:b/>
                <w:sz w:val="16"/>
                <w:szCs w:val="16"/>
                <w:lang w:val="ro-RO"/>
              </w:rPr>
            </w:pPr>
            <w:r w:rsidRPr="00563739">
              <w:rPr>
                <w:rFonts w:eastAsia="Times New Roman" w:cs="Times New Roman"/>
                <w:b/>
                <w:i/>
                <w:sz w:val="16"/>
                <w:szCs w:val="16"/>
                <w:lang w:val="ro-RO"/>
              </w:rPr>
              <w:t xml:space="preserve">Data ultimei </w:t>
            </w:r>
            <w:r w:rsidR="00EB17C5" w:rsidRPr="00563739">
              <w:rPr>
                <w:rFonts w:eastAsia="Times New Roman" w:cs="Times New Roman"/>
                <w:b/>
                <w:i/>
                <w:sz w:val="16"/>
                <w:szCs w:val="16"/>
                <w:lang w:val="ro-RO"/>
              </w:rPr>
              <w:t>rambursări</w:t>
            </w:r>
            <w:r w:rsidRPr="00563739">
              <w:rPr>
                <w:rFonts w:eastAsia="Times New Roman" w:cs="Times New Roman"/>
                <w:b/>
                <w:i/>
                <w:sz w:val="16"/>
                <w:szCs w:val="16"/>
                <w:lang w:val="ro-RO"/>
              </w:rPr>
              <w:t>/</w:t>
            </w:r>
            <w:r w:rsidR="00EB17C5" w:rsidRPr="00563739">
              <w:rPr>
                <w:rFonts w:eastAsia="Times New Roman" w:cs="Times New Roman"/>
                <w:b/>
                <w:i/>
                <w:sz w:val="16"/>
                <w:szCs w:val="16"/>
                <w:lang w:val="ro-RO"/>
              </w:rPr>
              <w:t>decontări</w:t>
            </w:r>
            <w:r w:rsidRPr="00563739">
              <w:rPr>
                <w:rFonts w:eastAsia="Times New Roman" w:cs="Times New Roman"/>
                <w:b/>
                <w:i/>
                <w:sz w:val="16"/>
                <w:szCs w:val="16"/>
                <w:lang w:val="ro-RO"/>
              </w:rPr>
              <w:t>, conform contractului de finan</w:t>
            </w:r>
            <w:r w:rsidR="00EB17C5" w:rsidRPr="00563739">
              <w:rPr>
                <w:rFonts w:eastAsia="Times New Roman" w:cs="Times New Roman"/>
                <w:b/>
                <w:i/>
                <w:sz w:val="16"/>
                <w:szCs w:val="16"/>
                <w:lang w:val="ro-RO"/>
              </w:rPr>
              <w:t>ț</w:t>
            </w:r>
            <w:r w:rsidRPr="00563739">
              <w:rPr>
                <w:rFonts w:eastAsia="Times New Roman" w:cs="Times New Roman"/>
                <w:b/>
                <w:i/>
                <w:sz w:val="16"/>
                <w:szCs w:val="16"/>
                <w:lang w:val="ro-RO"/>
              </w:rPr>
              <w:t>are al programului respectiv</w:t>
            </w:r>
          </w:p>
        </w:tc>
        <w:tc>
          <w:tcPr>
            <w:tcW w:w="1528" w:type="dxa"/>
          </w:tcPr>
          <w:p w14:paraId="1F40DA76" w14:textId="3835CDD8" w:rsidR="00005D21" w:rsidRDefault="000D0420" w:rsidP="000D0420">
            <w:pPr>
              <w:rPr>
                <w:rFonts w:eastAsia="Times New Roman" w:cs="Times New Roman"/>
                <w:b/>
                <w:i/>
                <w:sz w:val="16"/>
                <w:szCs w:val="16"/>
                <w:lang w:val="ro-RO"/>
              </w:rPr>
            </w:pPr>
            <w:r w:rsidRPr="00563739">
              <w:rPr>
                <w:rFonts w:eastAsia="Times New Roman" w:cs="Times New Roman"/>
                <w:b/>
                <w:i/>
                <w:sz w:val="16"/>
                <w:szCs w:val="16"/>
                <w:lang w:val="ro-RO"/>
              </w:rPr>
              <w:t>Entitate</w:t>
            </w:r>
            <w:r w:rsidRPr="00563739">
              <w:rPr>
                <w:rFonts w:eastAsia="Times New Roman" w:cs="Times New Roman"/>
                <w:b/>
                <w:i/>
                <w:spacing w:val="1"/>
                <w:sz w:val="16"/>
                <w:szCs w:val="16"/>
                <w:lang w:val="ro-RO"/>
              </w:rPr>
              <w:t xml:space="preserve"> </w:t>
            </w:r>
            <w:r w:rsidRPr="00563739">
              <w:rPr>
                <w:rFonts w:eastAsia="Times New Roman" w:cs="Times New Roman"/>
                <w:b/>
                <w:i/>
                <w:sz w:val="16"/>
                <w:szCs w:val="16"/>
                <w:lang w:val="ro-RO"/>
              </w:rPr>
              <w:t>finanța</w:t>
            </w:r>
            <w:r w:rsidR="00EB17C5" w:rsidRPr="00563739">
              <w:rPr>
                <w:rFonts w:eastAsia="Times New Roman" w:cs="Times New Roman"/>
                <w:b/>
                <w:i/>
                <w:sz w:val="16"/>
                <w:szCs w:val="16"/>
                <w:lang w:val="ro-RO"/>
              </w:rPr>
              <w:t>-</w:t>
            </w:r>
            <w:r w:rsidRPr="00563739">
              <w:rPr>
                <w:rFonts w:eastAsia="Times New Roman" w:cs="Times New Roman"/>
                <w:b/>
                <w:i/>
                <w:sz w:val="16"/>
                <w:szCs w:val="16"/>
                <w:lang w:val="ro-RO"/>
              </w:rPr>
              <w:t>toare</w:t>
            </w:r>
          </w:p>
          <w:p w14:paraId="333FC0A1" w14:textId="77777777" w:rsidR="00005D21" w:rsidRDefault="00005D21" w:rsidP="000D0420">
            <w:pPr>
              <w:rPr>
                <w:rFonts w:eastAsia="Times New Roman" w:cs="Times New Roman"/>
                <w:b/>
                <w:i/>
                <w:sz w:val="16"/>
                <w:szCs w:val="16"/>
                <w:lang w:val="ro-RO"/>
              </w:rPr>
            </w:pPr>
          </w:p>
          <w:p w14:paraId="745ABF4B" w14:textId="0326A027" w:rsidR="000D0420" w:rsidRPr="00563739" w:rsidRDefault="000D0420" w:rsidP="000D0420">
            <w:pPr>
              <w:rPr>
                <w:rFonts w:eastAsia="Times New Roman" w:cs="Times New Roman"/>
                <w:b/>
                <w:sz w:val="16"/>
                <w:szCs w:val="16"/>
                <w:lang w:val="ro-RO"/>
              </w:rPr>
            </w:pPr>
            <w:r w:rsidRPr="00563739">
              <w:rPr>
                <w:rFonts w:eastAsia="Times New Roman" w:cs="Times New Roman"/>
                <w:b/>
                <w:i/>
                <w:sz w:val="16"/>
                <w:szCs w:val="16"/>
                <w:lang w:val="ro-RO"/>
              </w:rPr>
              <w:t>*la nivel național</w:t>
            </w:r>
          </w:p>
        </w:tc>
      </w:tr>
      <w:tr w:rsidR="00107624" w:rsidRPr="00107624" w14:paraId="164BE41E" w14:textId="77777777" w:rsidTr="00404383">
        <w:tc>
          <w:tcPr>
            <w:tcW w:w="1527" w:type="dxa"/>
          </w:tcPr>
          <w:p w14:paraId="6374876B" w14:textId="77777777" w:rsidR="000D0420" w:rsidRPr="00107624" w:rsidRDefault="000D0420" w:rsidP="000D0420">
            <w:pPr>
              <w:rPr>
                <w:rFonts w:eastAsia="Times New Roman" w:cs="Times New Roman"/>
                <w:b/>
                <w:szCs w:val="24"/>
                <w:lang w:val="ro-RO"/>
              </w:rPr>
            </w:pPr>
            <w:r w:rsidRPr="00107624">
              <w:rPr>
                <w:rFonts w:eastAsia="Times New Roman" w:cs="Times New Roman"/>
                <w:b/>
                <w:szCs w:val="24"/>
                <w:lang w:val="ro-RO"/>
              </w:rPr>
              <w:t>1.</w:t>
            </w:r>
          </w:p>
        </w:tc>
        <w:tc>
          <w:tcPr>
            <w:tcW w:w="1528" w:type="dxa"/>
          </w:tcPr>
          <w:p w14:paraId="087BF030" w14:textId="77777777" w:rsidR="000D0420" w:rsidRPr="00107624" w:rsidRDefault="000D0420" w:rsidP="000D0420">
            <w:pPr>
              <w:rPr>
                <w:rFonts w:eastAsia="Times New Roman" w:cs="Times New Roman"/>
                <w:b/>
                <w:szCs w:val="24"/>
                <w:lang w:val="ro-RO"/>
              </w:rPr>
            </w:pPr>
          </w:p>
        </w:tc>
        <w:tc>
          <w:tcPr>
            <w:tcW w:w="1528" w:type="dxa"/>
          </w:tcPr>
          <w:p w14:paraId="15BA0C86" w14:textId="77777777" w:rsidR="000D0420" w:rsidRPr="00107624" w:rsidRDefault="000D0420" w:rsidP="000D0420">
            <w:pPr>
              <w:rPr>
                <w:rFonts w:eastAsia="Times New Roman" w:cs="Times New Roman"/>
                <w:b/>
                <w:szCs w:val="24"/>
                <w:lang w:val="ro-RO"/>
              </w:rPr>
            </w:pPr>
          </w:p>
        </w:tc>
        <w:tc>
          <w:tcPr>
            <w:tcW w:w="1528" w:type="dxa"/>
          </w:tcPr>
          <w:p w14:paraId="1D7F352B" w14:textId="77777777" w:rsidR="000D0420" w:rsidRPr="00107624" w:rsidRDefault="000D0420" w:rsidP="000D0420">
            <w:pPr>
              <w:rPr>
                <w:rFonts w:eastAsia="Times New Roman" w:cs="Times New Roman"/>
                <w:b/>
                <w:szCs w:val="24"/>
                <w:lang w:val="ro-RO"/>
              </w:rPr>
            </w:pPr>
          </w:p>
        </w:tc>
        <w:tc>
          <w:tcPr>
            <w:tcW w:w="1528" w:type="dxa"/>
          </w:tcPr>
          <w:p w14:paraId="342766D9" w14:textId="77777777" w:rsidR="000D0420" w:rsidRPr="00107624" w:rsidRDefault="000D0420" w:rsidP="000D0420">
            <w:pPr>
              <w:rPr>
                <w:rFonts w:eastAsia="Times New Roman" w:cs="Times New Roman"/>
                <w:b/>
                <w:szCs w:val="24"/>
                <w:lang w:val="ro-RO"/>
              </w:rPr>
            </w:pPr>
          </w:p>
        </w:tc>
        <w:tc>
          <w:tcPr>
            <w:tcW w:w="1528" w:type="dxa"/>
          </w:tcPr>
          <w:p w14:paraId="66A15D75" w14:textId="77777777" w:rsidR="000D0420" w:rsidRPr="00107624" w:rsidRDefault="000D0420" w:rsidP="000D0420">
            <w:pPr>
              <w:rPr>
                <w:rFonts w:eastAsia="Times New Roman" w:cs="Times New Roman"/>
                <w:b/>
                <w:szCs w:val="24"/>
                <w:lang w:val="ro-RO"/>
              </w:rPr>
            </w:pPr>
          </w:p>
        </w:tc>
        <w:tc>
          <w:tcPr>
            <w:tcW w:w="1528" w:type="dxa"/>
          </w:tcPr>
          <w:p w14:paraId="578B4E69" w14:textId="77777777" w:rsidR="000D0420" w:rsidRPr="00107624" w:rsidRDefault="000D0420" w:rsidP="000D0420">
            <w:pPr>
              <w:rPr>
                <w:rFonts w:eastAsia="Times New Roman" w:cs="Times New Roman"/>
                <w:b/>
                <w:szCs w:val="24"/>
                <w:lang w:val="ro-RO"/>
              </w:rPr>
            </w:pPr>
          </w:p>
        </w:tc>
      </w:tr>
      <w:tr w:rsidR="00107624" w:rsidRPr="00107624" w14:paraId="13688D37" w14:textId="77777777" w:rsidTr="00404383">
        <w:tc>
          <w:tcPr>
            <w:tcW w:w="1527" w:type="dxa"/>
          </w:tcPr>
          <w:p w14:paraId="787B21CB" w14:textId="77777777" w:rsidR="000D0420" w:rsidRPr="00107624" w:rsidRDefault="000D0420" w:rsidP="000D0420">
            <w:pPr>
              <w:rPr>
                <w:rFonts w:eastAsia="Times New Roman" w:cs="Times New Roman"/>
                <w:b/>
                <w:szCs w:val="24"/>
                <w:lang w:val="ro-RO"/>
              </w:rPr>
            </w:pPr>
            <w:r w:rsidRPr="00107624">
              <w:rPr>
                <w:rFonts w:eastAsia="Times New Roman" w:cs="Times New Roman"/>
                <w:b/>
                <w:szCs w:val="24"/>
                <w:lang w:val="ro-RO"/>
              </w:rPr>
              <w:t>2.</w:t>
            </w:r>
          </w:p>
        </w:tc>
        <w:tc>
          <w:tcPr>
            <w:tcW w:w="1528" w:type="dxa"/>
          </w:tcPr>
          <w:p w14:paraId="26CC7337" w14:textId="77777777" w:rsidR="000D0420" w:rsidRPr="00107624" w:rsidRDefault="000D0420" w:rsidP="000D0420">
            <w:pPr>
              <w:rPr>
                <w:rFonts w:eastAsia="Times New Roman" w:cs="Times New Roman"/>
                <w:b/>
                <w:szCs w:val="24"/>
                <w:lang w:val="ro-RO"/>
              </w:rPr>
            </w:pPr>
          </w:p>
        </w:tc>
        <w:tc>
          <w:tcPr>
            <w:tcW w:w="1528" w:type="dxa"/>
          </w:tcPr>
          <w:p w14:paraId="0C6CD23C" w14:textId="77777777" w:rsidR="000D0420" w:rsidRPr="00107624" w:rsidRDefault="000D0420" w:rsidP="000D0420">
            <w:pPr>
              <w:rPr>
                <w:rFonts w:eastAsia="Times New Roman" w:cs="Times New Roman"/>
                <w:b/>
                <w:szCs w:val="24"/>
                <w:lang w:val="ro-RO"/>
              </w:rPr>
            </w:pPr>
          </w:p>
        </w:tc>
        <w:tc>
          <w:tcPr>
            <w:tcW w:w="1528" w:type="dxa"/>
          </w:tcPr>
          <w:p w14:paraId="45CA05B0" w14:textId="77777777" w:rsidR="000D0420" w:rsidRPr="00107624" w:rsidRDefault="000D0420" w:rsidP="000D0420">
            <w:pPr>
              <w:rPr>
                <w:rFonts w:eastAsia="Times New Roman" w:cs="Times New Roman"/>
                <w:b/>
                <w:szCs w:val="24"/>
                <w:lang w:val="ro-RO"/>
              </w:rPr>
            </w:pPr>
          </w:p>
        </w:tc>
        <w:tc>
          <w:tcPr>
            <w:tcW w:w="1528" w:type="dxa"/>
          </w:tcPr>
          <w:p w14:paraId="72490C1F" w14:textId="77777777" w:rsidR="000D0420" w:rsidRPr="00107624" w:rsidRDefault="000D0420" w:rsidP="000D0420">
            <w:pPr>
              <w:rPr>
                <w:rFonts w:eastAsia="Times New Roman" w:cs="Times New Roman"/>
                <w:b/>
                <w:szCs w:val="24"/>
                <w:lang w:val="ro-RO"/>
              </w:rPr>
            </w:pPr>
          </w:p>
        </w:tc>
        <w:tc>
          <w:tcPr>
            <w:tcW w:w="1528" w:type="dxa"/>
          </w:tcPr>
          <w:p w14:paraId="776303A2" w14:textId="77777777" w:rsidR="000D0420" w:rsidRPr="00107624" w:rsidRDefault="000D0420" w:rsidP="000D0420">
            <w:pPr>
              <w:rPr>
                <w:rFonts w:eastAsia="Times New Roman" w:cs="Times New Roman"/>
                <w:b/>
                <w:szCs w:val="24"/>
                <w:lang w:val="ro-RO"/>
              </w:rPr>
            </w:pPr>
          </w:p>
        </w:tc>
        <w:tc>
          <w:tcPr>
            <w:tcW w:w="1528" w:type="dxa"/>
          </w:tcPr>
          <w:p w14:paraId="2C8F6027" w14:textId="77777777" w:rsidR="000D0420" w:rsidRPr="00107624" w:rsidRDefault="000D0420" w:rsidP="000D0420">
            <w:pPr>
              <w:rPr>
                <w:rFonts w:eastAsia="Times New Roman" w:cs="Times New Roman"/>
                <w:b/>
                <w:szCs w:val="24"/>
                <w:lang w:val="ro-RO"/>
              </w:rPr>
            </w:pPr>
          </w:p>
        </w:tc>
      </w:tr>
      <w:tr w:rsidR="000D0420" w:rsidRPr="00107624" w14:paraId="4778D49F" w14:textId="77777777" w:rsidTr="00404383">
        <w:tc>
          <w:tcPr>
            <w:tcW w:w="1527" w:type="dxa"/>
          </w:tcPr>
          <w:p w14:paraId="2CFE30AD" w14:textId="0348ACDE" w:rsidR="000D0420" w:rsidRPr="00107624" w:rsidRDefault="006F66E6" w:rsidP="000D0420">
            <w:pPr>
              <w:rPr>
                <w:rFonts w:eastAsia="Times New Roman" w:cs="Times New Roman"/>
                <w:b/>
                <w:szCs w:val="24"/>
                <w:lang w:val="ro-RO"/>
              </w:rPr>
            </w:pPr>
            <w:r>
              <w:rPr>
                <w:rFonts w:eastAsia="Times New Roman" w:cs="Times New Roman"/>
                <w:b/>
                <w:szCs w:val="24"/>
                <w:lang w:val="ro-RO"/>
              </w:rPr>
              <w:t>...</w:t>
            </w:r>
          </w:p>
        </w:tc>
        <w:tc>
          <w:tcPr>
            <w:tcW w:w="1528" w:type="dxa"/>
          </w:tcPr>
          <w:p w14:paraId="2E9E3171" w14:textId="77777777" w:rsidR="000D0420" w:rsidRPr="00107624" w:rsidRDefault="000D0420" w:rsidP="000D0420">
            <w:pPr>
              <w:rPr>
                <w:rFonts w:eastAsia="Times New Roman" w:cs="Times New Roman"/>
                <w:b/>
                <w:szCs w:val="24"/>
                <w:lang w:val="ro-RO"/>
              </w:rPr>
            </w:pPr>
          </w:p>
        </w:tc>
        <w:tc>
          <w:tcPr>
            <w:tcW w:w="1528" w:type="dxa"/>
          </w:tcPr>
          <w:p w14:paraId="05DB98AB" w14:textId="77777777" w:rsidR="000D0420" w:rsidRPr="00107624" w:rsidRDefault="000D0420" w:rsidP="000D0420">
            <w:pPr>
              <w:rPr>
                <w:rFonts w:eastAsia="Times New Roman" w:cs="Times New Roman"/>
                <w:b/>
                <w:szCs w:val="24"/>
                <w:lang w:val="ro-RO"/>
              </w:rPr>
            </w:pPr>
          </w:p>
        </w:tc>
        <w:tc>
          <w:tcPr>
            <w:tcW w:w="1528" w:type="dxa"/>
          </w:tcPr>
          <w:p w14:paraId="547C78B7" w14:textId="77777777" w:rsidR="000D0420" w:rsidRPr="00107624" w:rsidRDefault="000D0420" w:rsidP="000D0420">
            <w:pPr>
              <w:rPr>
                <w:rFonts w:eastAsia="Times New Roman" w:cs="Times New Roman"/>
                <w:b/>
                <w:szCs w:val="24"/>
                <w:lang w:val="ro-RO"/>
              </w:rPr>
            </w:pPr>
          </w:p>
        </w:tc>
        <w:tc>
          <w:tcPr>
            <w:tcW w:w="1528" w:type="dxa"/>
          </w:tcPr>
          <w:p w14:paraId="462FDED8" w14:textId="77777777" w:rsidR="000D0420" w:rsidRPr="00107624" w:rsidRDefault="000D0420" w:rsidP="000D0420">
            <w:pPr>
              <w:rPr>
                <w:rFonts w:eastAsia="Times New Roman" w:cs="Times New Roman"/>
                <w:b/>
                <w:szCs w:val="24"/>
                <w:lang w:val="ro-RO"/>
              </w:rPr>
            </w:pPr>
          </w:p>
        </w:tc>
        <w:tc>
          <w:tcPr>
            <w:tcW w:w="1528" w:type="dxa"/>
          </w:tcPr>
          <w:p w14:paraId="3584E08E" w14:textId="77777777" w:rsidR="000D0420" w:rsidRPr="00107624" w:rsidRDefault="000D0420" w:rsidP="000D0420">
            <w:pPr>
              <w:rPr>
                <w:rFonts w:eastAsia="Times New Roman" w:cs="Times New Roman"/>
                <w:b/>
                <w:szCs w:val="24"/>
                <w:lang w:val="ro-RO"/>
              </w:rPr>
            </w:pPr>
          </w:p>
        </w:tc>
        <w:tc>
          <w:tcPr>
            <w:tcW w:w="1528" w:type="dxa"/>
          </w:tcPr>
          <w:p w14:paraId="45A78A7E" w14:textId="77777777" w:rsidR="000D0420" w:rsidRPr="00107624" w:rsidRDefault="000D0420" w:rsidP="000D0420">
            <w:pPr>
              <w:rPr>
                <w:rFonts w:eastAsia="Times New Roman" w:cs="Times New Roman"/>
                <w:b/>
                <w:szCs w:val="24"/>
                <w:lang w:val="ro-RO"/>
              </w:rPr>
            </w:pPr>
          </w:p>
        </w:tc>
      </w:tr>
    </w:tbl>
    <w:p w14:paraId="4631FF9E" w14:textId="77777777" w:rsidR="000D0420" w:rsidRPr="00107624" w:rsidRDefault="000D0420" w:rsidP="008F7BA4">
      <w:pPr>
        <w:shd w:val="clear" w:color="auto" w:fill="FFFFFF"/>
        <w:spacing w:after="0" w:line="240" w:lineRule="auto"/>
        <w:jc w:val="both"/>
        <w:rPr>
          <w:rFonts w:cs="Times New Roman"/>
          <w:b/>
          <w:i/>
          <w:noProof/>
          <w:szCs w:val="24"/>
          <w:lang w:val="ro-RO"/>
        </w:rPr>
      </w:pPr>
    </w:p>
    <w:p w14:paraId="07283B7A" w14:textId="77777777" w:rsidR="000D0420" w:rsidRPr="00107624" w:rsidRDefault="000D0420" w:rsidP="008F7BA4">
      <w:pPr>
        <w:shd w:val="clear" w:color="auto" w:fill="FFFFFF"/>
        <w:spacing w:after="0" w:line="240" w:lineRule="auto"/>
        <w:jc w:val="both"/>
        <w:rPr>
          <w:rFonts w:cs="Times New Roman"/>
          <w:b/>
          <w:i/>
          <w:noProof/>
          <w:szCs w:val="24"/>
          <w:lang w:val="ro-RO"/>
        </w:rPr>
      </w:pPr>
    </w:p>
    <w:p w14:paraId="2D7E5A17" w14:textId="2293BCDE" w:rsidR="000D0420" w:rsidRPr="00107624" w:rsidRDefault="00D57409" w:rsidP="008F7BA4">
      <w:pPr>
        <w:shd w:val="clear" w:color="auto" w:fill="FFFFFF"/>
        <w:spacing w:after="0" w:line="240" w:lineRule="auto"/>
        <w:jc w:val="both"/>
        <w:rPr>
          <w:rFonts w:cs="Times New Roman"/>
          <w:b/>
          <w:i/>
          <w:noProof/>
          <w:szCs w:val="24"/>
          <w:lang w:val="ro-RO"/>
        </w:rPr>
      </w:pPr>
      <w:r>
        <w:rPr>
          <w:rFonts w:cs="Times New Roman"/>
          <w:b/>
          <w:i/>
          <w:noProof/>
          <w:szCs w:val="24"/>
          <w:lang w:val="ro-RO"/>
        </w:rPr>
        <w:t>Art.</w:t>
      </w:r>
      <w:r w:rsidR="00005D21">
        <w:rPr>
          <w:rFonts w:cs="Times New Roman"/>
          <w:b/>
          <w:i/>
          <w:noProof/>
          <w:szCs w:val="24"/>
          <w:lang w:val="ro-RO"/>
        </w:rPr>
        <w:t xml:space="preserve"> </w:t>
      </w:r>
      <w:r>
        <w:rPr>
          <w:rFonts w:cs="Times New Roman"/>
          <w:b/>
          <w:i/>
          <w:noProof/>
          <w:szCs w:val="24"/>
          <w:lang w:val="ro-RO"/>
        </w:rPr>
        <w:t>6</w:t>
      </w:r>
      <w:r w:rsidR="00A57F94">
        <w:rPr>
          <w:rFonts w:cs="Times New Roman"/>
          <w:b/>
          <w:i/>
          <w:noProof/>
          <w:szCs w:val="24"/>
          <w:lang w:val="ro-RO"/>
        </w:rPr>
        <w:t xml:space="preserve"> </w:t>
      </w:r>
      <w:r>
        <w:rPr>
          <w:rFonts w:cs="Times New Roman"/>
          <w:b/>
          <w:i/>
          <w:noProof/>
          <w:szCs w:val="24"/>
          <w:lang w:val="ro-RO"/>
        </w:rPr>
        <w:t xml:space="preserve"> </w:t>
      </w:r>
      <w:r w:rsidRPr="00D57409">
        <w:rPr>
          <w:rFonts w:cs="Times New Roman"/>
          <w:b/>
          <w:i/>
          <w:noProof/>
          <w:szCs w:val="24"/>
          <w:lang w:val="ro-RO"/>
        </w:rPr>
        <w:t>Regulamentul (UE) nr. 651/2014</w:t>
      </w:r>
      <w:r>
        <w:rPr>
          <w:rFonts w:cs="Times New Roman"/>
          <w:b/>
          <w:i/>
          <w:noProof/>
          <w:szCs w:val="24"/>
          <w:lang w:val="ro-RO"/>
        </w:rPr>
        <w:t xml:space="preserve">, art. 38 - </w:t>
      </w:r>
      <w:r w:rsidRPr="00D57409">
        <w:rPr>
          <w:rFonts w:cs="Times New Roman"/>
          <w:b/>
          <w:i/>
          <w:noProof/>
          <w:szCs w:val="24"/>
          <w:lang w:val="ro-RO"/>
        </w:rPr>
        <w:t>Ajutoarele pentru investiții în favoarea măsurilor de eficiență energetică</w:t>
      </w:r>
    </w:p>
    <w:p w14:paraId="6352E29E" w14:textId="7BDAB2FC" w:rsidR="000D0420" w:rsidRPr="00107624" w:rsidRDefault="00A57F94" w:rsidP="008F7BA4">
      <w:pPr>
        <w:shd w:val="clear" w:color="auto" w:fill="FFFFFF"/>
        <w:spacing w:after="0" w:line="240" w:lineRule="auto"/>
        <w:jc w:val="both"/>
        <w:rPr>
          <w:rFonts w:cs="Times New Roman"/>
          <w:b/>
          <w:i/>
          <w:noProof/>
          <w:szCs w:val="24"/>
          <w:lang w:val="ro-RO"/>
        </w:rPr>
      </w:pPr>
      <w:r>
        <w:rPr>
          <w:rFonts w:cs="Times New Roman"/>
          <w:b/>
          <w:i/>
          <w:noProof/>
          <w:szCs w:val="24"/>
          <w:lang w:val="ro-RO"/>
        </w:rPr>
        <w:t>Se va completa tabelul de mai jos</w:t>
      </w:r>
      <w:r w:rsidR="00EB17C5">
        <w:rPr>
          <w:rFonts w:cs="Times New Roman"/>
          <w:b/>
          <w:i/>
          <w:noProof/>
          <w:szCs w:val="24"/>
          <w:lang w:val="ro-RO"/>
        </w:rPr>
        <w:t>,</w:t>
      </w:r>
      <w:r>
        <w:rPr>
          <w:rFonts w:cs="Times New Roman"/>
          <w:b/>
          <w:i/>
          <w:noProof/>
          <w:szCs w:val="24"/>
          <w:lang w:val="ro-RO"/>
        </w:rPr>
        <w:t xml:space="preserve"> în vederea realizării scenariului contrafactual.</w:t>
      </w:r>
    </w:p>
    <w:tbl>
      <w:tblPr>
        <w:tblStyle w:val="TableGrid"/>
        <w:tblW w:w="0" w:type="auto"/>
        <w:tblLook w:val="04A0" w:firstRow="1" w:lastRow="0" w:firstColumn="1" w:lastColumn="0" w:noHBand="0" w:noVBand="1"/>
      </w:tblPr>
      <w:tblGrid>
        <w:gridCol w:w="4985"/>
        <w:gridCol w:w="4905"/>
      </w:tblGrid>
      <w:tr w:rsidR="00D57409" w14:paraId="6F0760B5" w14:textId="77777777" w:rsidTr="00D57409">
        <w:tc>
          <w:tcPr>
            <w:tcW w:w="5058" w:type="dxa"/>
          </w:tcPr>
          <w:p w14:paraId="782A36C9" w14:textId="2C57052C" w:rsidR="00D57409" w:rsidRPr="00D57409" w:rsidRDefault="00D57409" w:rsidP="00D57409">
            <w:pPr>
              <w:jc w:val="both"/>
              <w:rPr>
                <w:rFonts w:cs="Times New Roman"/>
                <w:b/>
                <w:i/>
                <w:noProof/>
                <w:szCs w:val="24"/>
                <w:lang w:val="ro-RO"/>
              </w:rPr>
            </w:pPr>
            <w:r w:rsidRPr="00D57409">
              <w:rPr>
                <w:rFonts w:cs="Times New Roman"/>
                <w:b/>
                <w:i/>
                <w:noProof/>
                <w:szCs w:val="24"/>
                <w:lang w:val="ro-RO"/>
              </w:rPr>
              <w:t>Nu se acordă ajutoare în temeiul prezentului articol în cazul în care îmbunătățirile respective sunt realizate pentru</w:t>
            </w:r>
            <w:r w:rsidR="007B71FF">
              <w:rPr>
                <w:rFonts w:cs="Times New Roman"/>
                <w:b/>
                <w:i/>
                <w:noProof/>
                <w:szCs w:val="24"/>
                <w:lang w:val="ro-RO"/>
              </w:rPr>
              <w:t xml:space="preserve"> </w:t>
            </w:r>
            <w:r w:rsidRPr="00D57409">
              <w:rPr>
                <w:rFonts w:cs="Times New Roman"/>
                <w:b/>
                <w:i/>
                <w:noProof/>
                <w:szCs w:val="24"/>
                <w:lang w:val="ro-RO"/>
              </w:rPr>
              <w:t>a se asigura respectarea de către întreprinderi a standardelor Uniunii deja adoptate, chiar dacă acestea nu au intrat încă</w:t>
            </w:r>
          </w:p>
          <w:p w14:paraId="7D60C69A" w14:textId="0684C7F1" w:rsidR="00D57409" w:rsidRDefault="00D57409" w:rsidP="00D57409">
            <w:pPr>
              <w:jc w:val="both"/>
              <w:rPr>
                <w:rFonts w:cs="Times New Roman"/>
                <w:b/>
                <w:i/>
                <w:noProof/>
                <w:szCs w:val="24"/>
                <w:lang w:val="ro-RO"/>
              </w:rPr>
            </w:pPr>
            <w:r w:rsidRPr="00D57409">
              <w:rPr>
                <w:rFonts w:cs="Times New Roman"/>
                <w:b/>
                <w:i/>
                <w:noProof/>
                <w:szCs w:val="24"/>
                <w:lang w:val="ro-RO"/>
              </w:rPr>
              <w:t>în vigoare</w:t>
            </w:r>
          </w:p>
        </w:tc>
        <w:tc>
          <w:tcPr>
            <w:tcW w:w="5058" w:type="dxa"/>
          </w:tcPr>
          <w:p w14:paraId="34BCD306" w14:textId="77777777" w:rsidR="00D57409" w:rsidRPr="00D57409" w:rsidRDefault="00D57409" w:rsidP="008F7BA4">
            <w:pPr>
              <w:jc w:val="both"/>
              <w:rPr>
                <w:rFonts w:cs="Times New Roman"/>
                <w:b/>
                <w:i/>
                <w:noProof/>
                <w:sz w:val="18"/>
                <w:szCs w:val="18"/>
                <w:lang w:val="ro-RO"/>
              </w:rPr>
            </w:pPr>
            <w:r w:rsidRPr="00D57409">
              <w:rPr>
                <w:rFonts w:cs="Times New Roman"/>
                <w:b/>
                <w:i/>
                <w:noProof/>
                <w:sz w:val="18"/>
                <w:szCs w:val="18"/>
                <w:lang w:val="ro-RO"/>
              </w:rPr>
              <w:t>Se va face dovada îndeplinirii acestei condiţii prin descrierea situației existente si a proiectului, considerând următoarele criterii:</w:t>
            </w:r>
          </w:p>
          <w:p w14:paraId="199815D1" w14:textId="054DC2CB" w:rsidR="0060524E" w:rsidRPr="0060524E" w:rsidRDefault="0060524E" w:rsidP="0060524E">
            <w:pPr>
              <w:jc w:val="both"/>
              <w:rPr>
                <w:rFonts w:cs="Times New Roman"/>
                <w:b/>
                <w:i/>
                <w:noProof/>
                <w:sz w:val="18"/>
                <w:szCs w:val="18"/>
                <w:lang w:val="ro-RO"/>
              </w:rPr>
            </w:pPr>
            <w:r w:rsidRPr="0060524E">
              <w:rPr>
                <w:rFonts w:cs="Times New Roman"/>
                <w:b/>
                <w:i/>
                <w:noProof/>
                <w:sz w:val="18"/>
                <w:szCs w:val="18"/>
                <w:lang w:val="ro-RO"/>
              </w:rPr>
              <w:t xml:space="preserve">Astfel, în vederea conformării acestor prevederi, Solicitantul va justifica faptul </w:t>
            </w:r>
            <w:r w:rsidR="00EB17C5" w:rsidRPr="0060524E">
              <w:rPr>
                <w:rFonts w:cs="Times New Roman"/>
                <w:b/>
                <w:i/>
                <w:noProof/>
                <w:sz w:val="18"/>
                <w:szCs w:val="18"/>
                <w:lang w:val="ro-RO"/>
              </w:rPr>
              <w:t>c</w:t>
            </w:r>
            <w:r w:rsidR="00EB17C5">
              <w:rPr>
                <w:rFonts w:cs="Times New Roman"/>
                <w:b/>
                <w:i/>
                <w:noProof/>
                <w:sz w:val="18"/>
                <w:szCs w:val="18"/>
                <w:lang w:val="ro-RO"/>
              </w:rPr>
              <w:t>ă</w:t>
            </w:r>
            <w:r w:rsidR="00EB17C5" w:rsidRPr="0060524E">
              <w:rPr>
                <w:rFonts w:cs="Times New Roman"/>
                <w:b/>
                <w:i/>
                <w:noProof/>
                <w:sz w:val="18"/>
                <w:szCs w:val="18"/>
                <w:lang w:val="ro-RO"/>
              </w:rPr>
              <w:t xml:space="preserve"> </w:t>
            </w:r>
            <w:r w:rsidRPr="0060524E">
              <w:rPr>
                <w:rFonts w:cs="Times New Roman"/>
                <w:b/>
                <w:i/>
                <w:noProof/>
                <w:sz w:val="18"/>
                <w:szCs w:val="18"/>
                <w:lang w:val="ro-RO"/>
              </w:rPr>
              <w:t xml:space="preserve">implementarea proiectului va conduce la </w:t>
            </w:r>
            <w:r w:rsidR="00EB17C5" w:rsidRPr="0060524E">
              <w:rPr>
                <w:rFonts w:cs="Times New Roman"/>
                <w:b/>
                <w:i/>
                <w:noProof/>
                <w:sz w:val="18"/>
                <w:szCs w:val="18"/>
                <w:lang w:val="ro-RO"/>
              </w:rPr>
              <w:t>dep</w:t>
            </w:r>
            <w:r w:rsidR="00EB17C5">
              <w:rPr>
                <w:rFonts w:cs="Times New Roman"/>
                <w:b/>
                <w:i/>
                <w:noProof/>
                <w:sz w:val="18"/>
                <w:szCs w:val="18"/>
                <w:lang w:val="ro-RO"/>
              </w:rPr>
              <w:t>ăș</w:t>
            </w:r>
            <w:r w:rsidR="00EB17C5" w:rsidRPr="0060524E">
              <w:rPr>
                <w:rFonts w:cs="Times New Roman"/>
                <w:b/>
                <w:i/>
                <w:noProof/>
                <w:sz w:val="18"/>
                <w:szCs w:val="18"/>
                <w:lang w:val="ro-RO"/>
              </w:rPr>
              <w:t xml:space="preserve">irea </w:t>
            </w:r>
            <w:r w:rsidRPr="0060524E">
              <w:rPr>
                <w:rFonts w:cs="Times New Roman"/>
                <w:b/>
                <w:i/>
                <w:noProof/>
                <w:sz w:val="18"/>
                <w:szCs w:val="18"/>
                <w:lang w:val="ro-RO"/>
              </w:rPr>
              <w:t>standardelor Uniunii deja adoptate, chiar dacă acestea nu au intrat încă în vigoare, având in vedere următoarea definiție a  standardelor Uniunii :</w:t>
            </w:r>
          </w:p>
          <w:p w14:paraId="10650961" w14:textId="77777777" w:rsidR="00005D21" w:rsidRDefault="0060524E" w:rsidP="0060524E">
            <w:pPr>
              <w:pStyle w:val="ListParagraph"/>
              <w:numPr>
                <w:ilvl w:val="0"/>
                <w:numId w:val="15"/>
              </w:numPr>
              <w:jc w:val="both"/>
              <w:rPr>
                <w:rFonts w:cs="Times New Roman"/>
                <w:b/>
                <w:i/>
                <w:noProof/>
                <w:sz w:val="18"/>
                <w:szCs w:val="18"/>
                <w:lang w:val="ro-RO"/>
              </w:rPr>
            </w:pPr>
            <w:r w:rsidRPr="0060524E">
              <w:rPr>
                <w:rFonts w:cs="Times New Roman"/>
                <w:b/>
                <w:i/>
                <w:noProof/>
                <w:sz w:val="18"/>
                <w:szCs w:val="18"/>
                <w:lang w:val="ro-RO"/>
              </w:rPr>
              <w:t xml:space="preserve">un standard obligatoriu al Uniunii care stabilește nivelurile care trebuie atinse în materie de mediu de către întreprinderile individuale; sau </w:t>
            </w:r>
          </w:p>
          <w:p w14:paraId="0F795B4E" w14:textId="133689DD" w:rsidR="00D57409" w:rsidRPr="0060524E" w:rsidRDefault="0060524E" w:rsidP="0060524E">
            <w:pPr>
              <w:pStyle w:val="ListParagraph"/>
              <w:numPr>
                <w:ilvl w:val="0"/>
                <w:numId w:val="15"/>
              </w:numPr>
              <w:jc w:val="both"/>
              <w:rPr>
                <w:rFonts w:cs="Times New Roman"/>
                <w:b/>
                <w:i/>
                <w:noProof/>
                <w:sz w:val="18"/>
                <w:szCs w:val="18"/>
                <w:lang w:val="ro-RO"/>
              </w:rPr>
            </w:pPr>
            <w:r w:rsidRPr="0060524E">
              <w:rPr>
                <w:rFonts w:cs="Times New Roman"/>
                <w:b/>
                <w:i/>
                <w:noProof/>
                <w:sz w:val="18"/>
                <w:szCs w:val="18"/>
                <w:lang w:val="ro-RO"/>
              </w:rPr>
              <w:t xml:space="preserve">obligaţia în temeiul Directivei 2010/75/UE a Parlamentului European și a Consiliului  de a utiliza cele mai bune tehnici disponibile (BAT) și de a garanta că nivelurile de emisie a poluanţilor nu sunt mai ridicate decât nivelurile care s-ar fi înregistrat prin aplicarea BAT; în cazurile în care nivelurile emisiilor asociate BAT au fost definite în actele de punere în aplicare adoptate în temeiul Directivei 2010/75/UE, acele niveluri se vor aplica în sensul prezentului regulament, dacă nivelurile respective sunt exprimate ca interval, se va aplica limita în care </w:t>
            </w:r>
            <w:r w:rsidR="00E611A0">
              <w:rPr>
                <w:rFonts w:cs="Times New Roman"/>
                <w:b/>
                <w:i/>
                <w:noProof/>
                <w:sz w:val="18"/>
                <w:szCs w:val="18"/>
                <w:lang w:val="ro-RO"/>
              </w:rPr>
              <w:t>se atinge BAT pentru prima dată.</w:t>
            </w:r>
          </w:p>
          <w:p w14:paraId="51AB35C1" w14:textId="77777777" w:rsidR="0060524E" w:rsidRPr="0060524E" w:rsidRDefault="0060524E" w:rsidP="0060524E">
            <w:pPr>
              <w:jc w:val="both"/>
              <w:rPr>
                <w:rFonts w:cs="Times New Roman"/>
                <w:b/>
                <w:i/>
                <w:noProof/>
                <w:sz w:val="18"/>
                <w:szCs w:val="18"/>
                <w:lang w:val="ro-RO"/>
              </w:rPr>
            </w:pPr>
            <w:r w:rsidRPr="0060524E">
              <w:rPr>
                <w:rFonts w:cs="Times New Roman"/>
                <w:b/>
                <w:i/>
                <w:noProof/>
                <w:sz w:val="18"/>
                <w:szCs w:val="18"/>
                <w:lang w:val="ro-RO"/>
              </w:rPr>
              <w:t>Cu toate acestea, dacă solicitantul nu respectă toate standardele care îi sunt aplicabile, Ministerul Energiei  va verifica dacă proiectul de eficiență energetică pentru care se solicită ajutorul nu ar fi necesar pentru ca beneficiarul să respecte standardele adoptate la nivelul UE. În cazul în care un proiect este necesar pentru a respecta un standard al Uniunii, beneficiarul ar fi obligat să realizeze oricum proiectul respectiv (sau un proiect echivalent), iar ajutorul nu ar avea niciun efect stimulativ. Prin urmare, un astfel de proiect nu este eligibil în cadrul prezentei scheme.</w:t>
            </w:r>
          </w:p>
          <w:p w14:paraId="7437483D" w14:textId="77777777" w:rsidR="0060524E" w:rsidRDefault="0060524E" w:rsidP="0060524E">
            <w:pPr>
              <w:jc w:val="both"/>
              <w:rPr>
                <w:rFonts w:cs="Times New Roman"/>
                <w:b/>
                <w:i/>
                <w:noProof/>
                <w:sz w:val="18"/>
                <w:szCs w:val="18"/>
                <w:lang w:val="ro-RO"/>
              </w:rPr>
            </w:pPr>
            <w:r w:rsidRPr="0060524E">
              <w:rPr>
                <w:rFonts w:cs="Times New Roman"/>
                <w:b/>
                <w:i/>
                <w:noProof/>
                <w:sz w:val="18"/>
                <w:szCs w:val="18"/>
                <w:lang w:val="ro-RO"/>
              </w:rPr>
              <w:t xml:space="preserve">În acest sens, aplicantul va analiza în proiect respectarea prevederilor ultimelor Decizii ale Comisiei Europene privind cele mai bune tehnici disponibile la nivelul categoriei de </w:t>
            </w:r>
            <w:r w:rsidRPr="0060524E">
              <w:rPr>
                <w:rFonts w:cs="Times New Roman"/>
                <w:b/>
                <w:i/>
                <w:noProof/>
                <w:sz w:val="18"/>
                <w:szCs w:val="18"/>
                <w:lang w:val="ro-RO"/>
              </w:rPr>
              <w:lastRenderedPageBreak/>
              <w:t>echipament pentru care se solicită finanțare, Decizii de punere în aplicare ale Comisiei Europene, în temeiul Directivei 2010/75/UE a Parlamentului European și a Consiliului.</w:t>
            </w:r>
          </w:p>
          <w:p w14:paraId="04B00047" w14:textId="203FDF4D" w:rsidR="00FE70E9" w:rsidRPr="00FE70E9" w:rsidRDefault="00FE70E9" w:rsidP="00563739">
            <w:pPr>
              <w:pStyle w:val="ListParagraph"/>
              <w:numPr>
                <w:ilvl w:val="0"/>
                <w:numId w:val="16"/>
              </w:numPr>
              <w:jc w:val="both"/>
              <w:rPr>
                <w:rFonts w:cs="Times New Roman"/>
                <w:b/>
                <w:i/>
                <w:noProof/>
                <w:sz w:val="18"/>
                <w:szCs w:val="18"/>
                <w:lang w:val="ro-RO"/>
              </w:rPr>
            </w:pPr>
            <w:r>
              <w:rPr>
                <w:rFonts w:cs="Times New Roman"/>
                <w:b/>
                <w:i/>
                <w:noProof/>
                <w:sz w:val="18"/>
                <w:szCs w:val="18"/>
                <w:lang w:val="ro-RO"/>
              </w:rPr>
              <w:t>Se va demonstra</w:t>
            </w:r>
            <w:r w:rsidRPr="00FE70E9">
              <w:rPr>
                <w:rFonts w:cs="Times New Roman"/>
                <w:b/>
                <w:i/>
                <w:noProof/>
                <w:sz w:val="18"/>
                <w:szCs w:val="18"/>
                <w:lang w:val="ro-RO"/>
              </w:rPr>
              <w:t xml:space="preserve"> prin fișele tehnice de catalog ale echipamentelor </w:t>
            </w:r>
            <w:r>
              <w:rPr>
                <w:rFonts w:cs="Times New Roman"/>
                <w:b/>
                <w:i/>
                <w:noProof/>
                <w:sz w:val="18"/>
                <w:szCs w:val="18"/>
                <w:lang w:val="ro-RO"/>
              </w:rPr>
              <w:t xml:space="preserve">din proiect, </w:t>
            </w:r>
            <w:r w:rsidR="00E611A0">
              <w:rPr>
                <w:rFonts w:cs="Times New Roman"/>
                <w:b/>
                <w:i/>
                <w:noProof/>
                <w:sz w:val="18"/>
                <w:szCs w:val="18"/>
                <w:lang w:val="ro-RO"/>
              </w:rPr>
              <w:t>atașate SF și completarea anexelor relevante.</w:t>
            </w:r>
          </w:p>
        </w:tc>
      </w:tr>
      <w:tr w:rsidR="00D57409" w14:paraId="06EE5180" w14:textId="77777777" w:rsidTr="00D57409">
        <w:tc>
          <w:tcPr>
            <w:tcW w:w="5058" w:type="dxa"/>
          </w:tcPr>
          <w:p w14:paraId="285D8314" w14:textId="30DD23E8" w:rsidR="00D57409" w:rsidRPr="00D57409" w:rsidRDefault="00D57409" w:rsidP="00D57409">
            <w:pPr>
              <w:jc w:val="both"/>
              <w:rPr>
                <w:rFonts w:cs="Times New Roman"/>
                <w:b/>
                <w:i/>
                <w:noProof/>
                <w:szCs w:val="24"/>
                <w:lang w:val="ro-RO"/>
              </w:rPr>
            </w:pPr>
            <w:r w:rsidRPr="00D57409">
              <w:rPr>
                <w:rFonts w:cs="Times New Roman"/>
                <w:b/>
                <w:i/>
                <w:noProof/>
                <w:szCs w:val="24"/>
                <w:lang w:val="ro-RO"/>
              </w:rPr>
              <w:lastRenderedPageBreak/>
              <w:t>Costurile eligibile sunt costurile suplimentare de investiții necesare atingerii unui nivel mai ridicat de eficiență</w:t>
            </w:r>
            <w:r w:rsidR="007B71FF">
              <w:rPr>
                <w:rFonts w:cs="Times New Roman"/>
                <w:b/>
                <w:i/>
                <w:noProof/>
                <w:szCs w:val="24"/>
                <w:lang w:val="ro-RO"/>
              </w:rPr>
              <w:t xml:space="preserve"> </w:t>
            </w:r>
            <w:r w:rsidRPr="00D57409">
              <w:rPr>
                <w:rFonts w:cs="Times New Roman"/>
                <w:b/>
                <w:i/>
                <w:noProof/>
                <w:szCs w:val="24"/>
                <w:lang w:val="ro-RO"/>
              </w:rPr>
              <w:t>energetică. Acestea sunt determinate după cum urmează:</w:t>
            </w:r>
          </w:p>
          <w:p w14:paraId="267A5EA6" w14:textId="77777777" w:rsidR="00D57409" w:rsidRPr="00D57409" w:rsidRDefault="00D57409" w:rsidP="00D57409">
            <w:pPr>
              <w:jc w:val="both"/>
              <w:rPr>
                <w:rFonts w:cs="Times New Roman"/>
                <w:b/>
                <w:i/>
                <w:noProof/>
                <w:szCs w:val="24"/>
                <w:lang w:val="ro-RO"/>
              </w:rPr>
            </w:pPr>
            <w:r w:rsidRPr="00D57409">
              <w:rPr>
                <w:rFonts w:cs="Times New Roman"/>
                <w:b/>
                <w:i/>
                <w:noProof/>
                <w:szCs w:val="24"/>
                <w:lang w:val="ro-RO"/>
              </w:rPr>
              <w:t>(a) în cazul în care costurile investiției în eficiența energetică pot fi identificate ca investiție separată în costurile totale</w:t>
            </w:r>
          </w:p>
          <w:p w14:paraId="3F8DCB9D" w14:textId="77777777" w:rsidR="00D57409" w:rsidRPr="00D57409" w:rsidRDefault="00D57409" w:rsidP="00D57409">
            <w:pPr>
              <w:jc w:val="both"/>
              <w:rPr>
                <w:rFonts w:cs="Times New Roman"/>
                <w:b/>
                <w:i/>
                <w:noProof/>
                <w:szCs w:val="24"/>
                <w:lang w:val="ro-RO"/>
              </w:rPr>
            </w:pPr>
            <w:r w:rsidRPr="00D57409">
              <w:rPr>
                <w:rFonts w:cs="Times New Roman"/>
                <w:b/>
                <w:i/>
                <w:noProof/>
                <w:szCs w:val="24"/>
                <w:lang w:val="ro-RO"/>
              </w:rPr>
              <w:t>de investiții, aceste costuri legate de eficiența energetică constituie costurile eligibile;</w:t>
            </w:r>
          </w:p>
          <w:p w14:paraId="3DC9208D" w14:textId="77777777" w:rsidR="00D57409" w:rsidRPr="00D57409" w:rsidRDefault="00D57409" w:rsidP="00D57409">
            <w:pPr>
              <w:jc w:val="both"/>
              <w:rPr>
                <w:rFonts w:cs="Times New Roman"/>
                <w:b/>
                <w:i/>
                <w:noProof/>
                <w:szCs w:val="24"/>
                <w:lang w:val="ro-RO"/>
              </w:rPr>
            </w:pPr>
            <w:r w:rsidRPr="00D57409">
              <w:rPr>
                <w:rFonts w:cs="Times New Roman"/>
                <w:b/>
                <w:i/>
                <w:noProof/>
                <w:szCs w:val="24"/>
                <w:lang w:val="ro-RO"/>
              </w:rPr>
              <w:t>(b) în toate celelalte cazuri, costurile investiției în eficiența energetică sunt identificate prin raportare la o investiție similară, a cărei eficiență energetică este mai redusă și care ar fi fost realizată în mod credibil în absența ajutorului. Diferența dintre costurile aferente celor două investiții permite identificarea costurilor legate de eficiența energetică și</w:t>
            </w:r>
          </w:p>
          <w:p w14:paraId="0915F372" w14:textId="67F284E1" w:rsidR="00D57409" w:rsidRDefault="00D57409" w:rsidP="00D57409">
            <w:pPr>
              <w:jc w:val="both"/>
              <w:rPr>
                <w:rFonts w:cs="Times New Roman"/>
                <w:b/>
                <w:i/>
                <w:noProof/>
                <w:szCs w:val="24"/>
                <w:lang w:val="ro-RO"/>
              </w:rPr>
            </w:pPr>
            <w:r w:rsidRPr="00D57409">
              <w:rPr>
                <w:rFonts w:cs="Times New Roman"/>
                <w:b/>
                <w:i/>
                <w:noProof/>
                <w:szCs w:val="24"/>
                <w:lang w:val="ro-RO"/>
              </w:rPr>
              <w:t>constituie costurile eligibile.</w:t>
            </w:r>
          </w:p>
        </w:tc>
        <w:tc>
          <w:tcPr>
            <w:tcW w:w="5058" w:type="dxa"/>
          </w:tcPr>
          <w:p w14:paraId="4CD1DDBE" w14:textId="2EB755CC" w:rsidR="00D57409" w:rsidRPr="00D57409" w:rsidRDefault="00D57409" w:rsidP="008F7BA4">
            <w:pPr>
              <w:jc w:val="both"/>
              <w:rPr>
                <w:rFonts w:cs="Times New Roman"/>
                <w:b/>
                <w:i/>
                <w:noProof/>
                <w:sz w:val="18"/>
                <w:szCs w:val="18"/>
                <w:lang w:val="ro-RO"/>
              </w:rPr>
            </w:pPr>
            <w:r w:rsidRPr="00D57409">
              <w:rPr>
                <w:rFonts w:cs="Times New Roman"/>
                <w:b/>
                <w:i/>
                <w:noProof/>
                <w:sz w:val="18"/>
                <w:szCs w:val="18"/>
                <w:lang w:val="ro-RO"/>
              </w:rPr>
              <w:t xml:space="preserve">Se va face dovada îndeplinirii acestei condiţii prin descrierea situației existente </w:t>
            </w:r>
            <w:r w:rsidR="007B71FF">
              <w:rPr>
                <w:rFonts w:cs="Times New Roman"/>
                <w:b/>
                <w:i/>
                <w:noProof/>
                <w:sz w:val="18"/>
                <w:szCs w:val="18"/>
                <w:lang w:val="ro-RO"/>
              </w:rPr>
              <w:t>ș</w:t>
            </w:r>
            <w:r w:rsidRPr="00D57409">
              <w:rPr>
                <w:rFonts w:cs="Times New Roman"/>
                <w:b/>
                <w:i/>
                <w:noProof/>
                <w:sz w:val="18"/>
                <w:szCs w:val="18"/>
                <w:lang w:val="ro-RO"/>
              </w:rPr>
              <w:t>i a proiectului, considerând următoarele criterii:</w:t>
            </w:r>
          </w:p>
          <w:p w14:paraId="74BD1908" w14:textId="77777777" w:rsidR="00D57409" w:rsidRPr="00407D08" w:rsidRDefault="00D57409" w:rsidP="00407D08">
            <w:pPr>
              <w:pStyle w:val="ListParagraph"/>
              <w:numPr>
                <w:ilvl w:val="0"/>
                <w:numId w:val="16"/>
              </w:numPr>
              <w:jc w:val="both"/>
              <w:rPr>
                <w:rFonts w:cs="Times New Roman"/>
                <w:b/>
                <w:i/>
                <w:noProof/>
                <w:sz w:val="18"/>
                <w:szCs w:val="18"/>
                <w:lang w:val="ro-RO"/>
              </w:rPr>
            </w:pPr>
            <w:r w:rsidRPr="00407D08">
              <w:rPr>
                <w:rFonts w:cs="Times New Roman"/>
                <w:b/>
                <w:i/>
                <w:noProof/>
                <w:sz w:val="18"/>
                <w:szCs w:val="18"/>
                <w:lang w:val="ro-RO"/>
              </w:rPr>
              <w:t>Costurile eligibile sunt costurile suplimentare de investiții necesare atingerii unui nivel mai ridicat de eficiență energetică. Acestea sunt determinate după cum urmează:</w:t>
            </w:r>
          </w:p>
          <w:p w14:paraId="15765081" w14:textId="4A634245" w:rsidR="00D57409" w:rsidRPr="00D57409" w:rsidRDefault="00D57409" w:rsidP="00D57409">
            <w:pPr>
              <w:jc w:val="both"/>
              <w:rPr>
                <w:rFonts w:cs="Times New Roman"/>
                <w:b/>
                <w:i/>
                <w:noProof/>
                <w:sz w:val="18"/>
                <w:szCs w:val="18"/>
                <w:lang w:val="ro-RO"/>
              </w:rPr>
            </w:pPr>
            <w:r w:rsidRPr="00D57409">
              <w:rPr>
                <w:rFonts w:cs="Times New Roman"/>
                <w:b/>
                <w:i/>
                <w:noProof/>
                <w:sz w:val="18"/>
                <w:szCs w:val="18"/>
                <w:lang w:val="ro-RO"/>
              </w:rPr>
              <w:t>(a) în cazul în care costurile investiției în eficienț</w:t>
            </w:r>
            <w:r w:rsidR="007B71FF">
              <w:rPr>
                <w:rFonts w:cs="Times New Roman"/>
                <w:b/>
                <w:i/>
                <w:noProof/>
                <w:sz w:val="18"/>
                <w:szCs w:val="18"/>
                <w:lang w:val="ro-RO"/>
              </w:rPr>
              <w:t>ă</w:t>
            </w:r>
            <w:r w:rsidRPr="00D57409">
              <w:rPr>
                <w:rFonts w:cs="Times New Roman"/>
                <w:b/>
                <w:i/>
                <w:noProof/>
                <w:sz w:val="18"/>
                <w:szCs w:val="18"/>
                <w:lang w:val="ro-RO"/>
              </w:rPr>
              <w:t xml:space="preserve"> energetică pot fi identificate ca investiție separată în costurile totale de investiții, aceste costuri legate de eficiența energetică constituie costurile eligibile;</w:t>
            </w:r>
          </w:p>
          <w:p w14:paraId="76FB1D6E" w14:textId="77777777" w:rsidR="00D57409" w:rsidRDefault="00D57409" w:rsidP="00D57409">
            <w:pPr>
              <w:jc w:val="both"/>
              <w:rPr>
                <w:rFonts w:cs="Times New Roman"/>
                <w:b/>
                <w:i/>
                <w:noProof/>
                <w:sz w:val="18"/>
                <w:szCs w:val="18"/>
                <w:lang w:val="ro-RO"/>
              </w:rPr>
            </w:pPr>
            <w:r w:rsidRPr="00D57409">
              <w:rPr>
                <w:rFonts w:cs="Times New Roman"/>
                <w:b/>
                <w:i/>
                <w:noProof/>
                <w:sz w:val="18"/>
                <w:szCs w:val="18"/>
                <w:lang w:val="ro-RO"/>
              </w:rPr>
              <w:t>(b) în toate celelalte cazuri, costurile investiției în eficiența energetică sunt identificate prin raportare la o investiție similară, a cărei eficiență energetică este mai redusă și care ar fi fost realizată în mod credibil în absența ajutorului. Diferența dintre costurile aferente celor două investiții permite identificarea costurilor legate de eficiența energetică și constituie costurile eligibile.</w:t>
            </w:r>
          </w:p>
          <w:p w14:paraId="122D8F79" w14:textId="38695C55" w:rsidR="00407D08" w:rsidRPr="00407D08" w:rsidRDefault="00407D08" w:rsidP="00407D08">
            <w:pPr>
              <w:pStyle w:val="ListParagraph"/>
              <w:numPr>
                <w:ilvl w:val="0"/>
                <w:numId w:val="16"/>
              </w:numPr>
              <w:jc w:val="both"/>
              <w:rPr>
                <w:rFonts w:cs="Times New Roman"/>
                <w:b/>
                <w:i/>
                <w:noProof/>
                <w:sz w:val="18"/>
                <w:szCs w:val="18"/>
                <w:lang w:val="ro-RO"/>
              </w:rPr>
            </w:pPr>
            <w:r w:rsidRPr="00407D08">
              <w:rPr>
                <w:rFonts w:cs="Times New Roman"/>
                <w:b/>
                <w:i/>
                <w:noProof/>
                <w:sz w:val="18"/>
                <w:szCs w:val="18"/>
                <w:lang w:val="ro-RO"/>
              </w:rPr>
              <w:t>Costurile care nu sunt direct legate de obținerea unui nivel mai ridicat de eficiență energetică nu sunt eligibile.</w:t>
            </w:r>
          </w:p>
          <w:p w14:paraId="1E465CCD" w14:textId="104040DC" w:rsidR="00E611A0" w:rsidRPr="00E611A0" w:rsidRDefault="00D57409" w:rsidP="00E611A0">
            <w:pPr>
              <w:jc w:val="both"/>
              <w:rPr>
                <w:rFonts w:cs="Times New Roman"/>
                <w:b/>
                <w:i/>
                <w:noProof/>
                <w:sz w:val="18"/>
                <w:szCs w:val="18"/>
                <w:lang w:val="ro-RO"/>
              </w:rPr>
            </w:pPr>
            <w:r w:rsidRPr="00D57409">
              <w:rPr>
                <w:rFonts w:cs="Times New Roman"/>
                <w:b/>
                <w:i/>
                <w:noProof/>
                <w:sz w:val="18"/>
                <w:szCs w:val="18"/>
                <w:lang w:val="ro-RO"/>
              </w:rPr>
              <w:t xml:space="preserve">Astfel, </w:t>
            </w:r>
            <w:r w:rsidR="00E611A0" w:rsidRPr="00E611A0">
              <w:rPr>
                <w:rFonts w:cs="Times New Roman"/>
                <w:b/>
                <w:i/>
                <w:noProof/>
                <w:sz w:val="18"/>
                <w:szCs w:val="18"/>
                <w:lang w:val="ro-RO"/>
              </w:rPr>
              <w:t xml:space="preserve">în vederea </w:t>
            </w:r>
            <w:r w:rsidR="00E611A0">
              <w:rPr>
                <w:rFonts w:cs="Times New Roman"/>
                <w:b/>
                <w:i/>
                <w:noProof/>
                <w:sz w:val="18"/>
                <w:szCs w:val="18"/>
                <w:lang w:val="ro-RO"/>
              </w:rPr>
              <w:t xml:space="preserve">conformării acestor prevederi, </w:t>
            </w:r>
            <w:r w:rsidR="00E611A0" w:rsidRPr="00E611A0">
              <w:rPr>
                <w:rFonts w:cs="Times New Roman"/>
                <w:b/>
                <w:i/>
                <w:noProof/>
                <w:sz w:val="18"/>
                <w:szCs w:val="18"/>
                <w:lang w:val="ro-RO"/>
              </w:rPr>
              <w:t>Solicitantul va justifica faptul căa implementarea proiectului va conduce la depășasirea standardelor Uniunii deja adoptate, chiar dacă acestea nu au intrat încă în vigoare, având in vedere următoarea definiție a  standardelor Uniunii :</w:t>
            </w:r>
          </w:p>
          <w:p w14:paraId="496F932C" w14:textId="77777777" w:rsidR="00C13CF8" w:rsidRDefault="00E611A0" w:rsidP="00E611A0">
            <w:pPr>
              <w:pStyle w:val="ListParagraph"/>
              <w:numPr>
                <w:ilvl w:val="0"/>
                <w:numId w:val="17"/>
              </w:numPr>
              <w:jc w:val="both"/>
              <w:rPr>
                <w:rFonts w:cs="Times New Roman"/>
                <w:b/>
                <w:i/>
                <w:noProof/>
                <w:sz w:val="18"/>
                <w:szCs w:val="18"/>
                <w:lang w:val="ro-RO"/>
              </w:rPr>
            </w:pPr>
            <w:r w:rsidRPr="00E611A0">
              <w:rPr>
                <w:rFonts w:cs="Times New Roman"/>
                <w:b/>
                <w:i/>
                <w:noProof/>
                <w:sz w:val="18"/>
                <w:szCs w:val="18"/>
                <w:lang w:val="ro-RO"/>
              </w:rPr>
              <w:t xml:space="preserve">un standard obligatoriu al Uniunii care stabilește nivelurile care trebuie atinse în materie de mediu de către întreprinderile individuale; sau </w:t>
            </w:r>
          </w:p>
          <w:p w14:paraId="0C05045A" w14:textId="2E53ABE4" w:rsidR="00E611A0" w:rsidRPr="00E611A0" w:rsidRDefault="00E611A0" w:rsidP="00E611A0">
            <w:pPr>
              <w:pStyle w:val="ListParagraph"/>
              <w:numPr>
                <w:ilvl w:val="0"/>
                <w:numId w:val="17"/>
              </w:numPr>
              <w:jc w:val="both"/>
              <w:rPr>
                <w:rFonts w:cs="Times New Roman"/>
                <w:b/>
                <w:i/>
                <w:noProof/>
                <w:sz w:val="18"/>
                <w:szCs w:val="18"/>
                <w:lang w:val="ro-RO"/>
              </w:rPr>
            </w:pPr>
            <w:r w:rsidRPr="00E611A0">
              <w:rPr>
                <w:rFonts w:cs="Times New Roman"/>
                <w:b/>
                <w:i/>
                <w:noProof/>
                <w:sz w:val="18"/>
                <w:szCs w:val="18"/>
                <w:lang w:val="ro-RO"/>
              </w:rPr>
              <w:t>obligaţia în temeiul Directivei 2010/75/UE a Parlamentului European și a Consiliului (1) de a utiliza cele mai bune tehnici disponibile (BAT) și de a garanta că nivelurile de emisie a poluanţilor nu sunt mai ridicate decât nivelurile care s-ar fi înregistrat prin aplicarea BAT; în cazurile în care nivelurile emisiilor asociate BAT au fost definite în actele de punere în aplicare adoptate în temeiul Directivei 2010/75/UE, acele niveluri se vor aplica în sensul prezentului regulament, dacă nivelurile respective sunt exprimate ca interval, se va aplica limita în care se atinge BAT pentru prima dată</w:t>
            </w:r>
            <w:r>
              <w:rPr>
                <w:rFonts w:cs="Times New Roman"/>
                <w:b/>
                <w:i/>
                <w:noProof/>
                <w:sz w:val="18"/>
                <w:szCs w:val="18"/>
                <w:lang w:val="ro-RO"/>
              </w:rPr>
              <w:t>.</w:t>
            </w:r>
          </w:p>
          <w:p w14:paraId="6FBED4F0" w14:textId="3784AEA9" w:rsidR="00D57409" w:rsidRPr="00477E76" w:rsidRDefault="00D57409" w:rsidP="00477E76">
            <w:pPr>
              <w:pStyle w:val="ListParagraph"/>
              <w:numPr>
                <w:ilvl w:val="0"/>
                <w:numId w:val="16"/>
              </w:numPr>
              <w:jc w:val="both"/>
              <w:rPr>
                <w:rFonts w:cs="Times New Roman"/>
                <w:b/>
                <w:i/>
                <w:noProof/>
                <w:sz w:val="18"/>
                <w:szCs w:val="18"/>
                <w:lang w:val="ro-RO"/>
              </w:rPr>
            </w:pPr>
            <w:r w:rsidRPr="00477E76">
              <w:rPr>
                <w:rFonts w:cs="Times New Roman"/>
                <w:b/>
                <w:i/>
                <w:noProof/>
                <w:sz w:val="18"/>
                <w:szCs w:val="18"/>
                <w:lang w:val="ro-RO"/>
              </w:rPr>
              <w:t>Toate categoriile de beneficiari vor completa modulul privind scenariul contrafactual din cererea de finanțare, astfel:</w:t>
            </w:r>
          </w:p>
          <w:p w14:paraId="06FBF6E6" w14:textId="04B457B7" w:rsidR="00D57409" w:rsidRPr="00D57409" w:rsidRDefault="00D57409" w:rsidP="00D57409">
            <w:pPr>
              <w:jc w:val="both"/>
              <w:rPr>
                <w:rFonts w:cs="Times New Roman"/>
                <w:b/>
                <w:i/>
                <w:noProof/>
                <w:sz w:val="18"/>
                <w:szCs w:val="18"/>
                <w:lang w:val="ro-RO"/>
              </w:rPr>
            </w:pPr>
            <w:r w:rsidRPr="00D57409">
              <w:rPr>
                <w:rFonts w:cs="Times New Roman"/>
                <w:b/>
                <w:i/>
                <w:noProof/>
                <w:sz w:val="18"/>
                <w:szCs w:val="18"/>
                <w:lang w:val="ro-RO"/>
              </w:rPr>
              <w:t>-</w:t>
            </w:r>
            <w:r w:rsidRPr="00D57409">
              <w:rPr>
                <w:rFonts w:cs="Times New Roman"/>
                <w:b/>
                <w:i/>
                <w:noProof/>
                <w:sz w:val="18"/>
                <w:szCs w:val="18"/>
                <w:lang w:val="ro-RO"/>
              </w:rPr>
              <w:tab/>
            </w:r>
            <w:r w:rsidR="00E611A0" w:rsidRPr="00E611A0">
              <w:rPr>
                <w:rFonts w:cs="Times New Roman"/>
                <w:b/>
                <w:i/>
                <w:noProof/>
                <w:sz w:val="18"/>
                <w:szCs w:val="18"/>
                <w:lang w:val="ro-RO"/>
              </w:rPr>
              <w:t xml:space="preserve">Solicitantul va prezenta scenariul contrafactual (o investiţie similară, a cărei eficienţă energetică este mai redusă și care ar fi fost realizată în mod credibil în absenţa ajutorului), costurile unui astfel de proiect, pentru a putea fi identificate costurile eligibile pentru ajutor de stat și vor specifica și demonstra încadrarea învestitiei pentru care solicita ajutorul de stat în cerintele auditul energetic inițial și completarea fișei </w:t>
            </w:r>
            <w:r w:rsidR="00477E76">
              <w:rPr>
                <w:rFonts w:cs="Times New Roman"/>
                <w:b/>
                <w:i/>
                <w:noProof/>
                <w:sz w:val="18"/>
                <w:szCs w:val="18"/>
                <w:lang w:val="ro-RO"/>
              </w:rPr>
              <w:t>privind scenariul contrafactual;</w:t>
            </w:r>
          </w:p>
          <w:p w14:paraId="0B3B84D7" w14:textId="070A1CC9" w:rsidR="00D57409" w:rsidRDefault="00D57409" w:rsidP="00D57409">
            <w:pPr>
              <w:jc w:val="both"/>
              <w:rPr>
                <w:rFonts w:cs="Times New Roman"/>
                <w:b/>
                <w:i/>
                <w:noProof/>
                <w:sz w:val="18"/>
                <w:szCs w:val="18"/>
                <w:lang w:val="ro-RO"/>
              </w:rPr>
            </w:pPr>
            <w:r w:rsidRPr="00D57409">
              <w:rPr>
                <w:rFonts w:cs="Times New Roman"/>
                <w:b/>
                <w:i/>
                <w:noProof/>
                <w:sz w:val="18"/>
                <w:szCs w:val="18"/>
                <w:lang w:val="ro-RO"/>
              </w:rPr>
              <w:t>-</w:t>
            </w:r>
            <w:r w:rsidRPr="00D57409">
              <w:rPr>
                <w:rFonts w:cs="Times New Roman"/>
                <w:b/>
                <w:i/>
                <w:noProof/>
                <w:sz w:val="18"/>
                <w:szCs w:val="18"/>
                <w:lang w:val="ro-RO"/>
              </w:rPr>
              <w:tab/>
            </w:r>
            <w:r w:rsidR="00477E76" w:rsidRPr="00477E76">
              <w:rPr>
                <w:rFonts w:cs="Times New Roman"/>
                <w:b/>
                <w:i/>
                <w:noProof/>
                <w:sz w:val="18"/>
                <w:szCs w:val="18"/>
                <w:lang w:val="ro-RO"/>
              </w:rPr>
              <w:t xml:space="preserve">În cazul în care costurile investiţiei în eficienţa energetică pot fi identificate ca o investiţie separată în costurile totale de investiţie, solicitantul va justifica în mod credibil de ce în cazul acestei investiții nu poate prezenta un scenariu contrafactual (o investiţie similară, a cărei eficienţă energetică </w:t>
            </w:r>
            <w:r w:rsidR="00477E76" w:rsidRPr="00477E76">
              <w:rPr>
                <w:rFonts w:cs="Times New Roman"/>
                <w:b/>
                <w:i/>
                <w:noProof/>
                <w:sz w:val="18"/>
                <w:szCs w:val="18"/>
                <w:lang w:val="ro-RO"/>
              </w:rPr>
              <w:lastRenderedPageBreak/>
              <w:t>este mai redusă și care ar fi fost realizată în mod credibil în absenţa ajutorului).</w:t>
            </w:r>
            <w:r w:rsidR="004213A0">
              <w:rPr>
                <w:rFonts w:cs="Times New Roman"/>
                <w:b/>
                <w:i/>
                <w:noProof/>
                <w:sz w:val="18"/>
                <w:szCs w:val="18"/>
                <w:lang w:val="ro-RO"/>
              </w:rPr>
              <w:t xml:space="preserve"> </w:t>
            </w:r>
            <w:r w:rsidR="00477E76" w:rsidRPr="00477E76">
              <w:rPr>
                <w:rFonts w:cs="Times New Roman"/>
                <w:b/>
                <w:i/>
                <w:noProof/>
                <w:sz w:val="18"/>
                <w:szCs w:val="18"/>
                <w:lang w:val="ro-RO"/>
              </w:rPr>
              <w:t>Scopul comparării investiției planificate cu o investiție de referință este acela de a se asigura că ajutorul este acordat numai pentru a acoperi costurile care rezultă din nivelul mai ridicat de eficiență energetică, deoarece alte costuri sunt excluse, așa cum se prevede în mod clar la paragraful 2 al articolului 38 din Regulament. Acesta nu vizează acoperirea cheltuielilor pe care întreprinderea le-ar fi avut oricum de suportat atunci când îsi înlocuiește, reînnoiește sau extinde echipamentul.</w:t>
            </w:r>
            <w:r w:rsidRPr="00D57409">
              <w:rPr>
                <w:rFonts w:cs="Times New Roman"/>
                <w:b/>
                <w:i/>
                <w:noProof/>
                <w:sz w:val="18"/>
                <w:szCs w:val="18"/>
                <w:lang w:val="ro-RO"/>
              </w:rPr>
              <w:t>;</w:t>
            </w:r>
            <w:r w:rsidR="00477E76">
              <w:t xml:space="preserve"> </w:t>
            </w:r>
            <w:r w:rsidR="00477E76" w:rsidRPr="00477E76">
              <w:rPr>
                <w:rFonts w:cs="Times New Roman"/>
                <w:b/>
                <w:i/>
                <w:noProof/>
                <w:sz w:val="18"/>
                <w:szCs w:val="18"/>
                <w:lang w:val="ro-RO"/>
              </w:rPr>
              <w:t>Prin urmare, în funcție de intervenția în domeniul eficienței energetice, trebuie să se identifice corect costurile eligibile si să se aplice scenariul contrafactual corect.</w:t>
            </w:r>
          </w:p>
          <w:p w14:paraId="7BE144DE" w14:textId="2EC57B54" w:rsidR="00477E76" w:rsidRDefault="00477E76" w:rsidP="00D57409">
            <w:pPr>
              <w:jc w:val="both"/>
              <w:rPr>
                <w:rFonts w:cs="Times New Roman"/>
                <w:b/>
                <w:i/>
                <w:noProof/>
                <w:sz w:val="18"/>
                <w:szCs w:val="18"/>
                <w:lang w:val="ro-RO"/>
              </w:rPr>
            </w:pPr>
            <w:r w:rsidRPr="00477E76">
              <w:rPr>
                <w:rFonts w:cs="Times New Roman"/>
                <w:b/>
                <w:i/>
                <w:noProof/>
                <w:sz w:val="18"/>
                <w:szCs w:val="18"/>
                <w:lang w:val="ro-RO"/>
              </w:rPr>
              <w:t>De exemplu, în cazul înlocuirii unui cazan, situația contrafactuală ar fi aceea de a investi într-un cazan mai puțin eficient din punct de vedere energetic. În acest caz, diferența dintre investiția într-un cazan eficient din punct de vedere energetic și cea într-un cazan mai puțin eficient din punct de vedere energetic constituie costurile eligibile.</w:t>
            </w:r>
          </w:p>
          <w:p w14:paraId="5BBD95ED" w14:textId="77777777" w:rsidR="00477E76" w:rsidRPr="00477E76" w:rsidRDefault="00477E76" w:rsidP="00477E76">
            <w:pPr>
              <w:pStyle w:val="ListParagraph"/>
              <w:numPr>
                <w:ilvl w:val="0"/>
                <w:numId w:val="16"/>
              </w:numPr>
              <w:jc w:val="both"/>
              <w:rPr>
                <w:rFonts w:cs="Times New Roman"/>
                <w:b/>
                <w:i/>
                <w:noProof/>
                <w:sz w:val="18"/>
                <w:szCs w:val="18"/>
                <w:lang w:val="ro-RO"/>
              </w:rPr>
            </w:pPr>
            <w:r w:rsidRPr="00477E76">
              <w:rPr>
                <w:rFonts w:cs="Times New Roman"/>
                <w:b/>
                <w:i/>
                <w:noProof/>
                <w:sz w:val="18"/>
                <w:szCs w:val="18"/>
                <w:lang w:val="ro-RO"/>
              </w:rPr>
              <w:t>Toate categoriile de beneficiari vor completa modulul privind scenariul contrafactual din cererea de finanțare, astfel:</w:t>
            </w:r>
          </w:p>
          <w:p w14:paraId="132D9964" w14:textId="77777777" w:rsidR="00477E76" w:rsidRPr="00477E76" w:rsidRDefault="00477E76" w:rsidP="00477E76">
            <w:pPr>
              <w:pStyle w:val="ListParagraph"/>
              <w:numPr>
                <w:ilvl w:val="0"/>
                <w:numId w:val="18"/>
              </w:numPr>
              <w:jc w:val="both"/>
              <w:rPr>
                <w:rFonts w:cs="Times New Roman"/>
                <w:b/>
                <w:i/>
                <w:noProof/>
                <w:sz w:val="18"/>
                <w:szCs w:val="18"/>
                <w:lang w:val="ro-RO"/>
              </w:rPr>
            </w:pPr>
            <w:r w:rsidRPr="00477E76">
              <w:rPr>
                <w:rFonts w:cs="Times New Roman"/>
                <w:b/>
                <w:i/>
                <w:noProof/>
                <w:sz w:val="18"/>
                <w:szCs w:val="18"/>
                <w:lang w:val="ro-RO"/>
              </w:rPr>
              <w:t>se identifică o investiție alternativă mai puțin ecologică și care rezultă în economii de energie mai mici, care ar fi realizată în mod plauzibil fără ajutor (investiția de referință); diferența de cost dintre investiția efectivă și cea de referință va constitui costurile eligibile,</w:t>
            </w:r>
          </w:p>
          <w:p w14:paraId="57624135" w14:textId="77777777" w:rsidR="00477E76" w:rsidRPr="00477E76" w:rsidRDefault="00477E76" w:rsidP="00477E76">
            <w:pPr>
              <w:pStyle w:val="ListParagraph"/>
              <w:numPr>
                <w:ilvl w:val="0"/>
                <w:numId w:val="18"/>
              </w:numPr>
              <w:jc w:val="both"/>
              <w:rPr>
                <w:rFonts w:cs="Times New Roman"/>
                <w:b/>
                <w:i/>
                <w:noProof/>
                <w:sz w:val="18"/>
                <w:szCs w:val="18"/>
                <w:lang w:val="ro-RO"/>
              </w:rPr>
            </w:pPr>
            <w:r w:rsidRPr="00477E76">
              <w:rPr>
                <w:rFonts w:cs="Times New Roman"/>
                <w:b/>
                <w:i/>
                <w:noProof/>
                <w:sz w:val="18"/>
                <w:szCs w:val="18"/>
                <w:lang w:val="ro-RO"/>
              </w:rPr>
              <w:t>în ceea ce privește echipamente tehnologice, investiția de referință ar trebui să fie similară ca dimensiune și capacitate cu cea planificată,</w:t>
            </w:r>
          </w:p>
          <w:p w14:paraId="6F6C6AB6" w14:textId="77777777" w:rsidR="00477E76" w:rsidRPr="00477E76" w:rsidRDefault="00477E76" w:rsidP="00477E76">
            <w:pPr>
              <w:pStyle w:val="ListParagraph"/>
              <w:numPr>
                <w:ilvl w:val="0"/>
                <w:numId w:val="18"/>
              </w:numPr>
              <w:jc w:val="both"/>
              <w:rPr>
                <w:rFonts w:cs="Times New Roman"/>
                <w:b/>
                <w:i/>
                <w:noProof/>
                <w:sz w:val="18"/>
                <w:szCs w:val="18"/>
                <w:lang w:val="ro-RO"/>
              </w:rPr>
            </w:pPr>
            <w:r w:rsidRPr="00477E76">
              <w:rPr>
                <w:rFonts w:cs="Times New Roman"/>
                <w:b/>
                <w:i/>
                <w:noProof/>
                <w:sz w:val="18"/>
                <w:szCs w:val="18"/>
                <w:lang w:val="ro-RO"/>
              </w:rPr>
              <w:t>cheltuielile nu sunt eligibile în temeiul articolului 38 din Regulamentul (UE) nr. 651/2014 în cazul în care sunt întreprinse îmbunătățiri doar pentru a asigura conformitatea cu standardele Uniunii; acestea se vor conforma prevederilor punctului 1.3.4. din prezentul ghid.</w:t>
            </w:r>
          </w:p>
          <w:p w14:paraId="2A292146" w14:textId="6A5358DF" w:rsidR="00407D08" w:rsidRPr="00477E76" w:rsidRDefault="00407D08" w:rsidP="00477E76">
            <w:pPr>
              <w:pStyle w:val="ListParagraph"/>
              <w:jc w:val="both"/>
              <w:rPr>
                <w:rFonts w:cs="Times New Roman"/>
                <w:b/>
                <w:i/>
                <w:noProof/>
                <w:sz w:val="18"/>
                <w:szCs w:val="18"/>
                <w:lang w:val="ro-RO"/>
              </w:rPr>
            </w:pPr>
          </w:p>
        </w:tc>
      </w:tr>
      <w:tr w:rsidR="00D57409" w:rsidRPr="00D57409" w14:paraId="09720403" w14:textId="77777777" w:rsidTr="00563739">
        <w:tc>
          <w:tcPr>
            <w:tcW w:w="10116" w:type="dxa"/>
            <w:gridSpan w:val="2"/>
            <w:tcBorders>
              <w:bottom w:val="nil"/>
            </w:tcBorders>
          </w:tcPr>
          <w:p w14:paraId="152C2648" w14:textId="385DA0A4" w:rsidR="00D57409" w:rsidRPr="00D57409" w:rsidRDefault="00D57409" w:rsidP="00D57409">
            <w:pPr>
              <w:jc w:val="both"/>
              <w:rPr>
                <w:rFonts w:cs="Times New Roman"/>
                <w:b/>
                <w:i/>
                <w:noProof/>
                <w:szCs w:val="24"/>
                <w:lang w:val="ro-RO"/>
              </w:rPr>
            </w:pPr>
            <w:r w:rsidRPr="00D57409">
              <w:rPr>
                <w:rFonts w:cs="Times New Roman"/>
                <w:b/>
                <w:i/>
                <w:noProof/>
                <w:szCs w:val="24"/>
                <w:lang w:val="ro-RO"/>
              </w:rPr>
              <w:lastRenderedPageBreak/>
              <w:t xml:space="preserve">Se va corela cu </w:t>
            </w:r>
            <w:r w:rsidR="00A57F94">
              <w:rPr>
                <w:rFonts w:cs="Times New Roman"/>
                <w:b/>
                <w:i/>
                <w:noProof/>
                <w:szCs w:val="24"/>
                <w:lang w:val="ro-RO"/>
              </w:rPr>
              <w:t xml:space="preserve">Cererea de finanțare - </w:t>
            </w:r>
            <w:r w:rsidRPr="00D57409">
              <w:rPr>
                <w:rFonts w:cs="Times New Roman"/>
                <w:b/>
                <w:i/>
                <w:noProof/>
                <w:szCs w:val="24"/>
                <w:lang w:val="ro-RO"/>
              </w:rPr>
              <w:t>Secțiunea Buget-Cheltuieli, auditul energetic și Studiul de fezabilitate.</w:t>
            </w:r>
          </w:p>
          <w:p w14:paraId="30E62DA6" w14:textId="5E47DD0E" w:rsidR="00D57409" w:rsidRPr="00D57409" w:rsidRDefault="00D57409" w:rsidP="00D57409">
            <w:pPr>
              <w:jc w:val="both"/>
              <w:rPr>
                <w:rFonts w:cs="Times New Roman"/>
                <w:b/>
                <w:i/>
                <w:noProof/>
                <w:szCs w:val="24"/>
                <w:lang w:val="ro-RO"/>
              </w:rPr>
            </w:pPr>
            <w:r w:rsidRPr="00D57409">
              <w:rPr>
                <w:rFonts w:cs="Times New Roman"/>
                <w:b/>
                <w:i/>
                <w:noProof/>
                <w:szCs w:val="24"/>
                <w:lang w:val="ro-RO"/>
              </w:rPr>
              <w:t>Se va justifica încadrarea în una din situațiile precizate mai sus și modul de calcul al costurilor de investiții.</w:t>
            </w:r>
          </w:p>
        </w:tc>
      </w:tr>
      <w:tr w:rsidR="00A57F94" w:rsidRPr="00D57409" w14:paraId="5AE89508" w14:textId="77777777" w:rsidTr="00563739">
        <w:trPr>
          <w:trHeight w:val="672"/>
        </w:trPr>
        <w:tc>
          <w:tcPr>
            <w:tcW w:w="10116" w:type="dxa"/>
            <w:gridSpan w:val="2"/>
            <w:tcBorders>
              <w:top w:val="nil"/>
              <w:left w:val="nil"/>
              <w:bottom w:val="single" w:sz="4" w:space="0" w:color="auto"/>
              <w:right w:val="nil"/>
            </w:tcBorders>
          </w:tcPr>
          <w:p w14:paraId="1999DD48" w14:textId="77777777" w:rsidR="00A57F94" w:rsidRDefault="00A57F94" w:rsidP="00D57409">
            <w:pPr>
              <w:jc w:val="both"/>
              <w:rPr>
                <w:rFonts w:cs="Times New Roman"/>
                <w:b/>
                <w:i/>
                <w:noProof/>
                <w:szCs w:val="24"/>
                <w:lang w:val="ro-RO"/>
              </w:rPr>
            </w:pPr>
            <w:r>
              <w:rPr>
                <w:rFonts w:cs="Times New Roman"/>
                <w:b/>
                <w:i/>
                <w:noProof/>
                <w:szCs w:val="24"/>
                <w:lang w:val="ro-RO"/>
              </w:rPr>
              <w:t>Se vor completa costurile investiției din scenariul factual și contrafactual, precum și costurile rezultate urmare a consfruntării celor două tabele.</w:t>
            </w:r>
          </w:p>
          <w:p w14:paraId="778ABF14" w14:textId="77777777" w:rsidR="00E611A0" w:rsidRDefault="00E611A0" w:rsidP="00D57409">
            <w:pPr>
              <w:jc w:val="both"/>
              <w:rPr>
                <w:rFonts w:cs="Times New Roman"/>
                <w:b/>
                <w:i/>
                <w:noProof/>
                <w:szCs w:val="24"/>
                <w:lang w:val="ro-RO"/>
              </w:rPr>
            </w:pPr>
          </w:p>
          <w:p w14:paraId="20D14AA5" w14:textId="77777777" w:rsidR="00E611A0" w:rsidRDefault="00E611A0" w:rsidP="00D57409">
            <w:pPr>
              <w:jc w:val="both"/>
              <w:rPr>
                <w:rFonts w:cs="Times New Roman"/>
                <w:b/>
                <w:i/>
                <w:noProof/>
                <w:szCs w:val="24"/>
                <w:lang w:val="ro-RO"/>
              </w:rPr>
            </w:pPr>
          </w:p>
          <w:tbl>
            <w:tblPr>
              <w:tblW w:w="4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6"/>
              <w:gridCol w:w="1403"/>
              <w:gridCol w:w="737"/>
              <w:gridCol w:w="1433"/>
            </w:tblGrid>
            <w:tr w:rsidR="00325C6F" w:rsidRPr="00783DC2" w14:paraId="51A87128" w14:textId="275634B7" w:rsidTr="00563739">
              <w:trPr>
                <w:cantSplit/>
                <w:trHeight w:val="931"/>
                <w:tblHeader/>
                <w:jc w:val="center"/>
              </w:trPr>
              <w:tc>
                <w:tcPr>
                  <w:tcW w:w="796" w:type="dxa"/>
                  <w:tcBorders>
                    <w:top w:val="single" w:sz="4" w:space="0" w:color="auto"/>
                    <w:left w:val="single" w:sz="4" w:space="0" w:color="auto"/>
                    <w:right w:val="single" w:sz="4" w:space="0" w:color="auto"/>
                  </w:tcBorders>
                  <w:tcMar>
                    <w:left w:w="0" w:type="dxa"/>
                    <w:right w:w="0" w:type="dxa"/>
                  </w:tcMar>
                  <w:vAlign w:val="center"/>
                </w:tcPr>
                <w:p w14:paraId="2135B9F1" w14:textId="5391478D" w:rsidR="00325C6F" w:rsidRPr="00563739" w:rsidRDefault="00325C6F" w:rsidP="00563739">
                  <w:pPr>
                    <w:ind w:right="-77"/>
                    <w:jc w:val="center"/>
                    <w:rPr>
                      <w:b/>
                      <w:sz w:val="16"/>
                      <w:szCs w:val="16"/>
                    </w:rPr>
                  </w:pPr>
                  <w:r w:rsidRPr="00563739">
                    <w:rPr>
                      <w:b/>
                      <w:sz w:val="16"/>
                      <w:szCs w:val="16"/>
                    </w:rPr>
                    <w:lastRenderedPageBreak/>
                    <w:t>Cap</w:t>
                  </w:r>
                  <w:r w:rsidR="00C13CF8">
                    <w:rPr>
                      <w:b/>
                      <w:sz w:val="16"/>
                      <w:szCs w:val="16"/>
                    </w:rPr>
                    <w:t>.</w:t>
                  </w:r>
                  <w:r w:rsidRPr="00563739">
                    <w:rPr>
                      <w:b/>
                      <w:sz w:val="16"/>
                      <w:szCs w:val="16"/>
                    </w:rPr>
                    <w:t xml:space="preserve">/ </w:t>
                  </w:r>
                  <w:proofErr w:type="spellStart"/>
                  <w:r w:rsidRPr="00563739">
                    <w:rPr>
                      <w:b/>
                      <w:sz w:val="16"/>
                      <w:szCs w:val="16"/>
                    </w:rPr>
                    <w:t>Subcap</w:t>
                  </w:r>
                  <w:proofErr w:type="spellEnd"/>
                  <w:r w:rsidR="00C13CF8">
                    <w:rPr>
                      <w:b/>
                      <w:sz w:val="16"/>
                      <w:szCs w:val="16"/>
                    </w:rPr>
                    <w:t>.</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252B1F0E" w14:textId="5AF6240A" w:rsidR="00325C6F" w:rsidRPr="00563739" w:rsidRDefault="00325C6F" w:rsidP="00C13CF8">
                  <w:pPr>
                    <w:ind w:right="-77"/>
                    <w:jc w:val="center"/>
                    <w:rPr>
                      <w:b/>
                      <w:sz w:val="16"/>
                      <w:szCs w:val="16"/>
                    </w:rPr>
                  </w:pPr>
                  <w:proofErr w:type="spellStart"/>
                  <w:r w:rsidRPr="00563739">
                    <w:rPr>
                      <w:b/>
                      <w:sz w:val="16"/>
                      <w:szCs w:val="16"/>
                    </w:rPr>
                    <w:t>Denumirea</w:t>
                  </w:r>
                  <w:proofErr w:type="spellEnd"/>
                  <w:r w:rsidRPr="00563739">
                    <w:rPr>
                      <w:b/>
                      <w:sz w:val="16"/>
                      <w:szCs w:val="16"/>
                    </w:rPr>
                    <w:t xml:space="preserve"> </w:t>
                  </w:r>
                  <w:proofErr w:type="spellStart"/>
                  <w:r w:rsidRPr="00563739">
                    <w:rPr>
                      <w:b/>
                      <w:sz w:val="16"/>
                      <w:szCs w:val="16"/>
                    </w:rPr>
                    <w:t>capitolelor</w:t>
                  </w:r>
                  <w:proofErr w:type="spellEnd"/>
                  <w:r w:rsidRPr="00563739">
                    <w:rPr>
                      <w:b/>
                      <w:sz w:val="16"/>
                      <w:szCs w:val="16"/>
                    </w:rPr>
                    <w:t xml:space="preserve"> </w:t>
                  </w:r>
                  <w:proofErr w:type="spellStart"/>
                  <w:r w:rsidRPr="00563739">
                    <w:rPr>
                      <w:b/>
                      <w:sz w:val="16"/>
                      <w:szCs w:val="16"/>
                    </w:rPr>
                    <w:t>si</w:t>
                  </w:r>
                  <w:proofErr w:type="spellEnd"/>
                  <w:r w:rsidRPr="00563739">
                    <w:rPr>
                      <w:b/>
                      <w:sz w:val="16"/>
                      <w:szCs w:val="16"/>
                    </w:rPr>
                    <w:t xml:space="preserve"> </w:t>
                  </w:r>
                  <w:proofErr w:type="spellStart"/>
                  <w:r w:rsidRPr="00563739">
                    <w:rPr>
                      <w:b/>
                      <w:sz w:val="16"/>
                      <w:szCs w:val="16"/>
                    </w:rPr>
                    <w:t>subcapitolelor</w:t>
                  </w:r>
                  <w:proofErr w:type="spellEnd"/>
                  <w:r w:rsidRPr="00563739">
                    <w:rPr>
                      <w:b/>
                      <w:sz w:val="16"/>
                      <w:szCs w:val="16"/>
                    </w:rPr>
                    <w:t xml:space="preserve"> de </w:t>
                  </w:r>
                  <w:proofErr w:type="spellStart"/>
                  <w:r w:rsidRPr="00563739">
                    <w:rPr>
                      <w:b/>
                      <w:sz w:val="16"/>
                      <w:szCs w:val="16"/>
                    </w:rPr>
                    <w:t>cheltuieli</w:t>
                  </w:r>
                  <w:proofErr w:type="spellEnd"/>
                </w:p>
              </w:tc>
              <w:tc>
                <w:tcPr>
                  <w:tcW w:w="1433" w:type="dxa"/>
                  <w:tcBorders>
                    <w:top w:val="single" w:sz="4" w:space="0" w:color="auto"/>
                    <w:left w:val="single" w:sz="4" w:space="0" w:color="auto"/>
                    <w:right w:val="single" w:sz="4" w:space="0" w:color="auto"/>
                  </w:tcBorders>
                  <w:vAlign w:val="center"/>
                </w:tcPr>
                <w:p w14:paraId="4B12FEF3" w14:textId="2FD18826" w:rsidR="00325C6F" w:rsidRPr="00563739" w:rsidRDefault="00325C6F" w:rsidP="00C13CF8">
                  <w:pPr>
                    <w:ind w:left="-137" w:right="-63"/>
                    <w:jc w:val="center"/>
                    <w:rPr>
                      <w:b/>
                      <w:sz w:val="16"/>
                      <w:szCs w:val="16"/>
                    </w:rPr>
                  </w:pPr>
                  <w:proofErr w:type="spellStart"/>
                  <w:r w:rsidRPr="00563739">
                    <w:rPr>
                      <w:b/>
                      <w:sz w:val="16"/>
                      <w:szCs w:val="16"/>
                    </w:rPr>
                    <w:t>Costurile</w:t>
                  </w:r>
                  <w:proofErr w:type="spellEnd"/>
                  <w:r w:rsidRPr="00563739">
                    <w:rPr>
                      <w:b/>
                      <w:sz w:val="16"/>
                      <w:szCs w:val="16"/>
                    </w:rPr>
                    <w:t xml:space="preserve"> </w:t>
                  </w:r>
                  <w:proofErr w:type="spellStart"/>
                  <w:r w:rsidRPr="00563739">
                    <w:rPr>
                      <w:b/>
                      <w:sz w:val="16"/>
                      <w:szCs w:val="16"/>
                    </w:rPr>
                    <w:t>investiției</w:t>
                  </w:r>
                  <w:proofErr w:type="spellEnd"/>
                  <w:r w:rsidRPr="00563739">
                    <w:rPr>
                      <w:b/>
                      <w:sz w:val="16"/>
                      <w:szCs w:val="16"/>
                    </w:rPr>
                    <w:t xml:space="preserve"> </w:t>
                  </w:r>
                  <w:proofErr w:type="spellStart"/>
                  <w:r w:rsidRPr="00563739">
                    <w:rPr>
                      <w:b/>
                      <w:sz w:val="16"/>
                      <w:szCs w:val="16"/>
                    </w:rPr>
                    <w:t>în</w:t>
                  </w:r>
                  <w:proofErr w:type="spellEnd"/>
                  <w:r w:rsidRPr="00563739">
                    <w:rPr>
                      <w:b/>
                      <w:sz w:val="16"/>
                      <w:szCs w:val="16"/>
                    </w:rPr>
                    <w:t xml:space="preserve"> </w:t>
                  </w:r>
                  <w:proofErr w:type="spellStart"/>
                  <w:r w:rsidRPr="00563739">
                    <w:rPr>
                      <w:b/>
                      <w:sz w:val="16"/>
                      <w:szCs w:val="16"/>
                    </w:rPr>
                    <w:t>scenariul</w:t>
                  </w:r>
                  <w:proofErr w:type="spellEnd"/>
                  <w:r w:rsidRPr="00563739">
                    <w:rPr>
                      <w:b/>
                      <w:sz w:val="16"/>
                      <w:szCs w:val="16"/>
                    </w:rPr>
                    <w:t xml:space="preserve"> factual</w:t>
                  </w:r>
                </w:p>
              </w:tc>
            </w:tr>
            <w:tr w:rsidR="00325C6F" w:rsidRPr="00783DC2" w14:paraId="18DB054B" w14:textId="4373FD04" w:rsidTr="00563739">
              <w:trPr>
                <w:cantSplit/>
                <w:trHeight w:val="24"/>
                <w:tblHeader/>
                <w:jc w:val="center"/>
              </w:trPr>
              <w:tc>
                <w:tcPr>
                  <w:tcW w:w="796" w:type="dxa"/>
                  <w:tcBorders>
                    <w:top w:val="single" w:sz="4" w:space="0" w:color="auto"/>
                    <w:left w:val="single" w:sz="4" w:space="0" w:color="auto"/>
                    <w:bottom w:val="single" w:sz="4" w:space="0" w:color="auto"/>
                    <w:right w:val="single" w:sz="4" w:space="0" w:color="auto"/>
                  </w:tcBorders>
                  <w:vAlign w:val="center"/>
                </w:tcPr>
                <w:p w14:paraId="4609F82D" w14:textId="77777777" w:rsidR="00325C6F" w:rsidRPr="00783DC2" w:rsidRDefault="00325C6F" w:rsidP="007B1832">
                  <w:pPr>
                    <w:ind w:left="-81" w:right="-78"/>
                    <w:jc w:val="center"/>
                    <w:rPr>
                      <w:b/>
                      <w:szCs w:val="24"/>
                    </w:rPr>
                  </w:pPr>
                  <w:r w:rsidRPr="00783DC2">
                    <w:rPr>
                      <w:b/>
                      <w:szCs w:val="24"/>
                    </w:rPr>
                    <w:t>0</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0782BEBA" w14:textId="77777777" w:rsidR="00325C6F" w:rsidRPr="00783DC2" w:rsidRDefault="00325C6F" w:rsidP="007B1832">
                  <w:pPr>
                    <w:jc w:val="center"/>
                    <w:rPr>
                      <w:b/>
                      <w:szCs w:val="24"/>
                    </w:rPr>
                  </w:pPr>
                  <w:r w:rsidRPr="00783DC2">
                    <w:rPr>
                      <w:b/>
                      <w:szCs w:val="24"/>
                    </w:rPr>
                    <w:t>1</w:t>
                  </w:r>
                </w:p>
              </w:tc>
              <w:tc>
                <w:tcPr>
                  <w:tcW w:w="1433" w:type="dxa"/>
                  <w:tcBorders>
                    <w:top w:val="single" w:sz="4" w:space="0" w:color="auto"/>
                    <w:left w:val="single" w:sz="4" w:space="0" w:color="auto"/>
                    <w:bottom w:val="single" w:sz="4" w:space="0" w:color="auto"/>
                    <w:right w:val="single" w:sz="4" w:space="0" w:color="auto"/>
                  </w:tcBorders>
                </w:tcPr>
                <w:p w14:paraId="0CC4F3E1" w14:textId="099618E1" w:rsidR="00325C6F" w:rsidRPr="00783DC2" w:rsidRDefault="00325C6F" w:rsidP="007B1832">
                  <w:pPr>
                    <w:jc w:val="center"/>
                    <w:rPr>
                      <w:b/>
                      <w:szCs w:val="24"/>
                    </w:rPr>
                  </w:pPr>
                  <w:r>
                    <w:rPr>
                      <w:b/>
                      <w:szCs w:val="24"/>
                    </w:rPr>
                    <w:t>2</w:t>
                  </w:r>
                </w:p>
              </w:tc>
            </w:tr>
            <w:tr w:rsidR="00325C6F" w:rsidRPr="00783DC2" w14:paraId="5E2E314D" w14:textId="4A0CADBA" w:rsidTr="00563739">
              <w:trPr>
                <w:cantSplit/>
                <w:trHeight w:val="335"/>
                <w:jc w:val="center"/>
              </w:trPr>
              <w:tc>
                <w:tcPr>
                  <w:tcW w:w="796" w:type="dxa"/>
                  <w:tcBorders>
                    <w:top w:val="single" w:sz="4" w:space="0" w:color="auto"/>
                    <w:left w:val="single" w:sz="4" w:space="0" w:color="auto"/>
                    <w:bottom w:val="single" w:sz="4" w:space="0" w:color="auto"/>
                    <w:right w:val="single" w:sz="4" w:space="0" w:color="auto"/>
                  </w:tcBorders>
                  <w:vAlign w:val="center"/>
                </w:tcPr>
                <w:p w14:paraId="2566DAE6" w14:textId="77777777" w:rsidR="00325C6F" w:rsidRPr="00783DC2" w:rsidRDefault="00325C6F" w:rsidP="007B1832">
                  <w:pPr>
                    <w:ind w:left="-81" w:right="-78"/>
                    <w:jc w:val="center"/>
                    <w:rPr>
                      <w:bCs/>
                      <w:szCs w:val="24"/>
                    </w:rPr>
                  </w:pPr>
                  <w:r>
                    <w:rPr>
                      <w:bCs/>
                      <w:szCs w:val="24"/>
                    </w:rPr>
                    <w:t>1</w:t>
                  </w:r>
                  <w:r w:rsidRPr="00783DC2">
                    <w:rPr>
                      <w:bCs/>
                      <w:szCs w:val="24"/>
                    </w:rPr>
                    <w:t>.</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75E87C6C" w14:textId="77777777" w:rsidR="00325C6F" w:rsidRPr="00783DC2" w:rsidRDefault="00325C6F" w:rsidP="00563739">
                  <w:pPr>
                    <w:jc w:val="both"/>
                    <w:rPr>
                      <w:szCs w:val="24"/>
                    </w:rPr>
                  </w:pPr>
                  <w:proofErr w:type="spellStart"/>
                  <w:r w:rsidRPr="00783DC2">
                    <w:rPr>
                      <w:szCs w:val="24"/>
                    </w:rPr>
                    <w:t>Cheltuieli</w:t>
                  </w:r>
                  <w:proofErr w:type="spellEnd"/>
                  <w:r w:rsidRPr="00783DC2">
                    <w:rPr>
                      <w:szCs w:val="24"/>
                    </w:rPr>
                    <w:t xml:space="preserve"> </w:t>
                  </w:r>
                  <w:proofErr w:type="spellStart"/>
                  <w:r w:rsidRPr="00783DC2">
                    <w:rPr>
                      <w:szCs w:val="24"/>
                    </w:rPr>
                    <w:t>pentru</w:t>
                  </w:r>
                  <w:proofErr w:type="spellEnd"/>
                  <w:r w:rsidRPr="00783DC2">
                    <w:rPr>
                      <w:szCs w:val="24"/>
                    </w:rPr>
                    <w:t xml:space="preserve"> </w:t>
                  </w:r>
                  <w:proofErr w:type="spellStart"/>
                  <w:r w:rsidRPr="00783DC2">
                    <w:rPr>
                      <w:szCs w:val="24"/>
                    </w:rPr>
                    <w:t>investiţia</w:t>
                  </w:r>
                  <w:proofErr w:type="spellEnd"/>
                  <w:r w:rsidRPr="00783DC2">
                    <w:rPr>
                      <w:szCs w:val="24"/>
                    </w:rPr>
                    <w:t xml:space="preserve"> de </w:t>
                  </w:r>
                  <w:proofErr w:type="spellStart"/>
                  <w:r w:rsidRPr="00783DC2">
                    <w:rPr>
                      <w:szCs w:val="24"/>
                    </w:rPr>
                    <w:t>bază</w:t>
                  </w:r>
                  <w:proofErr w:type="spellEnd"/>
                  <w:r w:rsidRPr="00783DC2">
                    <w:rPr>
                      <w:szCs w:val="24"/>
                    </w:rPr>
                    <w:t xml:space="preserve"> </w:t>
                  </w:r>
                  <w:proofErr w:type="spellStart"/>
                  <w:r w:rsidRPr="00783DC2">
                    <w:rPr>
                      <w:szCs w:val="24"/>
                    </w:rPr>
                    <w:t>justificate</w:t>
                  </w:r>
                  <w:proofErr w:type="spellEnd"/>
                  <w:r w:rsidRPr="00783DC2">
                    <w:rPr>
                      <w:szCs w:val="24"/>
                    </w:rPr>
                    <w:t xml:space="preserve"> </w:t>
                  </w:r>
                  <w:proofErr w:type="spellStart"/>
                  <w:r w:rsidRPr="00783DC2">
                    <w:rPr>
                      <w:szCs w:val="24"/>
                    </w:rPr>
                    <w:t>în</w:t>
                  </w:r>
                  <w:proofErr w:type="spellEnd"/>
                  <w:r w:rsidRPr="00783DC2">
                    <w:rPr>
                      <w:szCs w:val="24"/>
                    </w:rPr>
                    <w:t xml:space="preserve"> </w:t>
                  </w:r>
                  <w:proofErr w:type="spellStart"/>
                  <w:r w:rsidRPr="00783DC2">
                    <w:rPr>
                      <w:szCs w:val="24"/>
                    </w:rPr>
                    <w:t>strictă</w:t>
                  </w:r>
                  <w:proofErr w:type="spellEnd"/>
                  <w:r w:rsidRPr="00783DC2">
                    <w:rPr>
                      <w:szCs w:val="24"/>
                    </w:rPr>
                    <w:t xml:space="preserve"> </w:t>
                  </w:r>
                  <w:proofErr w:type="spellStart"/>
                  <w:r w:rsidRPr="00783DC2">
                    <w:rPr>
                      <w:szCs w:val="24"/>
                    </w:rPr>
                    <w:t>conexiune</w:t>
                  </w:r>
                  <w:proofErr w:type="spellEnd"/>
                  <w:r w:rsidRPr="00783DC2">
                    <w:rPr>
                      <w:szCs w:val="24"/>
                    </w:rPr>
                    <w:t xml:space="preserve"> cu </w:t>
                  </w:r>
                  <w:proofErr w:type="spellStart"/>
                  <w:r w:rsidRPr="00783DC2">
                    <w:rPr>
                      <w:szCs w:val="24"/>
                    </w:rPr>
                    <w:t>instalarea</w:t>
                  </w:r>
                  <w:proofErr w:type="spellEnd"/>
                  <w:r w:rsidRPr="00783DC2">
                    <w:rPr>
                      <w:szCs w:val="24"/>
                    </w:rPr>
                    <w:t xml:space="preserve"> </w:t>
                  </w:r>
                  <w:proofErr w:type="spellStart"/>
                  <w:r w:rsidRPr="00783DC2">
                    <w:rPr>
                      <w:szCs w:val="24"/>
                    </w:rPr>
                    <w:t>echipamentelor</w:t>
                  </w:r>
                  <w:proofErr w:type="spellEnd"/>
                  <w:r w:rsidRPr="00783DC2">
                    <w:rPr>
                      <w:szCs w:val="24"/>
                    </w:rPr>
                    <w:t xml:space="preserve"> </w:t>
                  </w:r>
                  <w:proofErr w:type="spellStart"/>
                  <w:r w:rsidRPr="00783DC2">
                    <w:rPr>
                      <w:szCs w:val="24"/>
                    </w:rPr>
                    <w:t>finanțate</w:t>
                  </w:r>
                  <w:proofErr w:type="spellEnd"/>
                  <w:r w:rsidRPr="00783DC2">
                    <w:rPr>
                      <w:szCs w:val="24"/>
                    </w:rPr>
                    <w:t xml:space="preserve"> din I5</w:t>
                  </w:r>
                </w:p>
              </w:tc>
              <w:tc>
                <w:tcPr>
                  <w:tcW w:w="1433" w:type="dxa"/>
                  <w:tcBorders>
                    <w:top w:val="single" w:sz="4" w:space="0" w:color="auto"/>
                    <w:left w:val="single" w:sz="4" w:space="0" w:color="auto"/>
                    <w:bottom w:val="single" w:sz="4" w:space="0" w:color="auto"/>
                    <w:right w:val="single" w:sz="4" w:space="0" w:color="auto"/>
                  </w:tcBorders>
                </w:tcPr>
                <w:p w14:paraId="1FE771AA" w14:textId="77777777" w:rsidR="00325C6F" w:rsidRPr="00783DC2" w:rsidRDefault="00325C6F" w:rsidP="00563739">
                  <w:pPr>
                    <w:jc w:val="both"/>
                    <w:rPr>
                      <w:szCs w:val="24"/>
                    </w:rPr>
                  </w:pPr>
                </w:p>
              </w:tc>
            </w:tr>
            <w:tr w:rsidR="00325C6F" w:rsidRPr="00783DC2" w14:paraId="348A38E3" w14:textId="173895C0" w:rsidTr="00563739">
              <w:trPr>
                <w:cantSplit/>
                <w:trHeight w:val="24"/>
                <w:jc w:val="center"/>
              </w:trPr>
              <w:tc>
                <w:tcPr>
                  <w:tcW w:w="796" w:type="dxa"/>
                  <w:tcBorders>
                    <w:top w:val="single" w:sz="4" w:space="0" w:color="auto"/>
                    <w:left w:val="single" w:sz="4" w:space="0" w:color="auto"/>
                    <w:bottom w:val="single" w:sz="4" w:space="0" w:color="auto"/>
                    <w:right w:val="single" w:sz="4" w:space="0" w:color="auto"/>
                  </w:tcBorders>
                  <w:vAlign w:val="center"/>
                </w:tcPr>
                <w:p w14:paraId="2D264651" w14:textId="77777777" w:rsidR="00325C6F" w:rsidRPr="00783DC2" w:rsidRDefault="00325C6F" w:rsidP="007B1832">
                  <w:pPr>
                    <w:ind w:left="-81" w:right="-78"/>
                    <w:jc w:val="center"/>
                    <w:rPr>
                      <w:bCs/>
                      <w:szCs w:val="24"/>
                    </w:rPr>
                  </w:pPr>
                  <w:r>
                    <w:rPr>
                      <w:bCs/>
                      <w:szCs w:val="24"/>
                    </w:rPr>
                    <w:t>1.1</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3064681E" w14:textId="77777777" w:rsidR="00325C6F" w:rsidRPr="00783DC2" w:rsidRDefault="00325C6F" w:rsidP="00563739">
                  <w:pPr>
                    <w:jc w:val="both"/>
                    <w:rPr>
                      <w:szCs w:val="24"/>
                    </w:rPr>
                  </w:pPr>
                  <w:proofErr w:type="spellStart"/>
                  <w:r w:rsidRPr="005917B5">
                    <w:rPr>
                      <w:szCs w:val="24"/>
                    </w:rPr>
                    <w:t>Costurile</w:t>
                  </w:r>
                  <w:proofErr w:type="spellEnd"/>
                  <w:r w:rsidRPr="005917B5">
                    <w:rPr>
                      <w:szCs w:val="24"/>
                    </w:rPr>
                    <w:t xml:space="preserve"> cu </w:t>
                  </w:r>
                  <w:proofErr w:type="spellStart"/>
                  <w:r w:rsidRPr="005917B5">
                    <w:rPr>
                      <w:szCs w:val="24"/>
                    </w:rPr>
                    <w:t>asistenţă</w:t>
                  </w:r>
                  <w:proofErr w:type="spellEnd"/>
                  <w:r w:rsidRPr="005917B5">
                    <w:rPr>
                      <w:szCs w:val="24"/>
                    </w:rPr>
                    <w:t xml:space="preserve"> </w:t>
                  </w:r>
                  <w:proofErr w:type="spellStart"/>
                  <w:r w:rsidRPr="005917B5">
                    <w:rPr>
                      <w:szCs w:val="24"/>
                    </w:rPr>
                    <w:t>tehnică</w:t>
                  </w:r>
                  <w:proofErr w:type="spellEnd"/>
                  <w:r w:rsidRPr="005917B5">
                    <w:rPr>
                      <w:szCs w:val="24"/>
                    </w:rPr>
                    <w:t xml:space="preserve"> din </w:t>
                  </w:r>
                  <w:proofErr w:type="spellStart"/>
                  <w:r w:rsidRPr="005917B5">
                    <w:rPr>
                      <w:szCs w:val="24"/>
                    </w:rPr>
                    <w:t>partea</w:t>
                  </w:r>
                  <w:proofErr w:type="spellEnd"/>
                  <w:r w:rsidRPr="005917B5">
                    <w:rPr>
                      <w:szCs w:val="24"/>
                    </w:rPr>
                    <w:t xml:space="preserve"> </w:t>
                  </w:r>
                  <w:proofErr w:type="spellStart"/>
                  <w:r w:rsidRPr="005917B5">
                    <w:rPr>
                      <w:szCs w:val="24"/>
                    </w:rPr>
                    <w:t>proiectantului</w:t>
                  </w:r>
                  <w:proofErr w:type="spellEnd"/>
                  <w:r w:rsidRPr="005917B5">
                    <w:rPr>
                      <w:szCs w:val="24"/>
                    </w:rPr>
                    <w:t xml:space="preserve"> pe </w:t>
                  </w:r>
                  <w:proofErr w:type="spellStart"/>
                  <w:r w:rsidRPr="005917B5">
                    <w:rPr>
                      <w:szCs w:val="24"/>
                    </w:rPr>
                    <w:t>perioada</w:t>
                  </w:r>
                  <w:proofErr w:type="spellEnd"/>
                  <w:r w:rsidRPr="005917B5">
                    <w:rPr>
                      <w:szCs w:val="24"/>
                    </w:rPr>
                    <w:t xml:space="preserve"> de </w:t>
                  </w:r>
                  <w:proofErr w:type="spellStart"/>
                  <w:r w:rsidRPr="005917B5">
                    <w:rPr>
                      <w:szCs w:val="24"/>
                    </w:rPr>
                    <w:t>execuţie</w:t>
                  </w:r>
                  <w:proofErr w:type="spellEnd"/>
                  <w:r w:rsidRPr="005917B5">
                    <w:rPr>
                      <w:szCs w:val="24"/>
                    </w:rPr>
                    <w:t xml:space="preserve"> a </w:t>
                  </w:r>
                  <w:proofErr w:type="spellStart"/>
                  <w:r w:rsidRPr="005917B5">
                    <w:rPr>
                      <w:szCs w:val="24"/>
                    </w:rPr>
                    <w:t>lucrărilor</w:t>
                  </w:r>
                  <w:proofErr w:type="spellEnd"/>
                </w:p>
              </w:tc>
              <w:tc>
                <w:tcPr>
                  <w:tcW w:w="1433" w:type="dxa"/>
                  <w:tcBorders>
                    <w:top w:val="single" w:sz="4" w:space="0" w:color="auto"/>
                    <w:left w:val="single" w:sz="4" w:space="0" w:color="auto"/>
                    <w:bottom w:val="single" w:sz="4" w:space="0" w:color="auto"/>
                    <w:right w:val="single" w:sz="4" w:space="0" w:color="auto"/>
                  </w:tcBorders>
                </w:tcPr>
                <w:p w14:paraId="4A774B69" w14:textId="77777777" w:rsidR="00325C6F" w:rsidRPr="00783DC2" w:rsidRDefault="00325C6F" w:rsidP="00563739">
                  <w:pPr>
                    <w:jc w:val="both"/>
                    <w:rPr>
                      <w:szCs w:val="24"/>
                    </w:rPr>
                  </w:pPr>
                </w:p>
              </w:tc>
            </w:tr>
            <w:tr w:rsidR="00325C6F" w:rsidRPr="00783DC2" w14:paraId="36ADC05E" w14:textId="4F1722E5" w:rsidTr="00563739">
              <w:trPr>
                <w:cantSplit/>
                <w:trHeight w:val="134"/>
                <w:jc w:val="center"/>
              </w:trPr>
              <w:tc>
                <w:tcPr>
                  <w:tcW w:w="796" w:type="dxa"/>
                  <w:tcBorders>
                    <w:top w:val="single" w:sz="4" w:space="0" w:color="auto"/>
                    <w:left w:val="single" w:sz="4" w:space="0" w:color="auto"/>
                    <w:bottom w:val="single" w:sz="4" w:space="0" w:color="auto"/>
                    <w:right w:val="single" w:sz="4" w:space="0" w:color="auto"/>
                  </w:tcBorders>
                  <w:vAlign w:val="center"/>
                </w:tcPr>
                <w:p w14:paraId="35B53B66" w14:textId="77777777" w:rsidR="00325C6F" w:rsidRPr="00783DC2" w:rsidRDefault="00325C6F" w:rsidP="007B1832">
                  <w:pPr>
                    <w:ind w:left="-81" w:right="-78"/>
                    <w:jc w:val="center"/>
                    <w:rPr>
                      <w:bCs/>
                      <w:szCs w:val="24"/>
                    </w:rPr>
                  </w:pPr>
                  <w:r>
                    <w:rPr>
                      <w:bCs/>
                      <w:szCs w:val="24"/>
                    </w:rPr>
                    <w:t>1</w:t>
                  </w:r>
                  <w:r w:rsidRPr="00783DC2">
                    <w:rPr>
                      <w:bCs/>
                      <w:szCs w:val="24"/>
                    </w:rPr>
                    <w:t>.</w:t>
                  </w:r>
                  <w:r>
                    <w:rPr>
                      <w:bCs/>
                      <w:szCs w:val="24"/>
                    </w:rPr>
                    <w:t>2</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04B49738" w14:textId="77777777" w:rsidR="00325C6F" w:rsidRPr="00783DC2" w:rsidRDefault="00325C6F" w:rsidP="00563739">
                  <w:pPr>
                    <w:jc w:val="both"/>
                    <w:rPr>
                      <w:szCs w:val="24"/>
                    </w:rPr>
                  </w:pPr>
                  <w:proofErr w:type="spellStart"/>
                  <w:r w:rsidRPr="00783DC2">
                    <w:rPr>
                      <w:szCs w:val="24"/>
                    </w:rPr>
                    <w:t>Construcţii</w:t>
                  </w:r>
                  <w:proofErr w:type="spellEnd"/>
                  <w:r w:rsidRPr="00783DC2">
                    <w:rPr>
                      <w:szCs w:val="24"/>
                    </w:rPr>
                    <w:t xml:space="preserve"> </w:t>
                  </w:r>
                  <w:proofErr w:type="spellStart"/>
                  <w:r w:rsidRPr="00783DC2">
                    <w:rPr>
                      <w:szCs w:val="24"/>
                    </w:rPr>
                    <w:t>şi</w:t>
                  </w:r>
                  <w:proofErr w:type="spellEnd"/>
                  <w:r w:rsidRPr="00783DC2">
                    <w:rPr>
                      <w:szCs w:val="24"/>
                    </w:rPr>
                    <w:t xml:space="preserve"> </w:t>
                  </w:r>
                  <w:proofErr w:type="spellStart"/>
                  <w:r w:rsidRPr="00783DC2">
                    <w:rPr>
                      <w:szCs w:val="24"/>
                    </w:rPr>
                    <w:t>instalaţii</w:t>
                  </w:r>
                  <w:proofErr w:type="spellEnd"/>
                </w:p>
              </w:tc>
              <w:tc>
                <w:tcPr>
                  <w:tcW w:w="1433" w:type="dxa"/>
                  <w:tcBorders>
                    <w:top w:val="single" w:sz="4" w:space="0" w:color="auto"/>
                    <w:left w:val="single" w:sz="4" w:space="0" w:color="auto"/>
                    <w:bottom w:val="single" w:sz="4" w:space="0" w:color="auto"/>
                    <w:right w:val="single" w:sz="4" w:space="0" w:color="auto"/>
                  </w:tcBorders>
                </w:tcPr>
                <w:p w14:paraId="65983B78" w14:textId="77777777" w:rsidR="00325C6F" w:rsidRPr="00783DC2" w:rsidRDefault="00325C6F" w:rsidP="00563739">
                  <w:pPr>
                    <w:jc w:val="both"/>
                    <w:rPr>
                      <w:szCs w:val="24"/>
                    </w:rPr>
                  </w:pPr>
                </w:p>
              </w:tc>
            </w:tr>
            <w:tr w:rsidR="00325C6F" w:rsidRPr="00783DC2" w14:paraId="7827D631" w14:textId="07C7CAB8" w:rsidTr="00563739">
              <w:trPr>
                <w:cantSplit/>
                <w:trHeight w:val="239"/>
                <w:jc w:val="center"/>
              </w:trPr>
              <w:tc>
                <w:tcPr>
                  <w:tcW w:w="796" w:type="dxa"/>
                  <w:tcBorders>
                    <w:top w:val="single" w:sz="4" w:space="0" w:color="auto"/>
                    <w:left w:val="single" w:sz="4" w:space="0" w:color="auto"/>
                    <w:bottom w:val="single" w:sz="4" w:space="0" w:color="auto"/>
                    <w:right w:val="single" w:sz="4" w:space="0" w:color="auto"/>
                  </w:tcBorders>
                  <w:vAlign w:val="center"/>
                </w:tcPr>
                <w:p w14:paraId="42B9A293" w14:textId="77777777" w:rsidR="00325C6F" w:rsidRPr="00783DC2" w:rsidRDefault="00325C6F" w:rsidP="007B1832">
                  <w:pPr>
                    <w:ind w:left="-81" w:right="-78"/>
                    <w:jc w:val="center"/>
                    <w:rPr>
                      <w:bCs/>
                      <w:szCs w:val="24"/>
                    </w:rPr>
                  </w:pPr>
                  <w:r>
                    <w:rPr>
                      <w:bCs/>
                      <w:szCs w:val="24"/>
                    </w:rPr>
                    <w:t>1</w:t>
                  </w:r>
                  <w:r w:rsidRPr="00783DC2">
                    <w:rPr>
                      <w:bCs/>
                      <w:szCs w:val="24"/>
                    </w:rPr>
                    <w:t>.</w:t>
                  </w:r>
                  <w:r>
                    <w:rPr>
                      <w:bCs/>
                      <w:szCs w:val="24"/>
                    </w:rPr>
                    <w:t>3</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669EC5BB" w14:textId="77777777" w:rsidR="00325C6F" w:rsidRPr="00783DC2" w:rsidRDefault="00325C6F" w:rsidP="007B1832">
                  <w:pPr>
                    <w:rPr>
                      <w:szCs w:val="24"/>
                    </w:rPr>
                  </w:pPr>
                  <w:proofErr w:type="spellStart"/>
                  <w:r w:rsidRPr="00783DC2">
                    <w:rPr>
                      <w:szCs w:val="24"/>
                    </w:rPr>
                    <w:t>Achizitie</w:t>
                  </w:r>
                  <w:proofErr w:type="spellEnd"/>
                  <w:r w:rsidRPr="00783DC2">
                    <w:rPr>
                      <w:szCs w:val="24"/>
                    </w:rPr>
                    <w:t xml:space="preserve"> </w:t>
                  </w:r>
                  <w:proofErr w:type="spellStart"/>
                  <w:r w:rsidRPr="00783DC2">
                    <w:rPr>
                      <w:szCs w:val="24"/>
                    </w:rPr>
                    <w:t>Utilaje</w:t>
                  </w:r>
                  <w:proofErr w:type="spellEnd"/>
                  <w:r w:rsidRPr="00783DC2">
                    <w:rPr>
                      <w:szCs w:val="24"/>
                    </w:rPr>
                    <w:t xml:space="preserve">, </w:t>
                  </w:r>
                  <w:proofErr w:type="spellStart"/>
                  <w:r w:rsidRPr="00783DC2">
                    <w:rPr>
                      <w:szCs w:val="24"/>
                    </w:rPr>
                    <w:t>echipamente</w:t>
                  </w:r>
                  <w:proofErr w:type="spellEnd"/>
                  <w:r w:rsidRPr="00783DC2">
                    <w:rPr>
                      <w:szCs w:val="24"/>
                    </w:rPr>
                    <w:t xml:space="preserve"> </w:t>
                  </w:r>
                  <w:proofErr w:type="spellStart"/>
                  <w:r w:rsidRPr="00783DC2">
                    <w:rPr>
                      <w:szCs w:val="24"/>
                    </w:rPr>
                    <w:t>tehnologice</w:t>
                  </w:r>
                  <w:proofErr w:type="spellEnd"/>
                  <w:r w:rsidRPr="00783DC2">
                    <w:rPr>
                      <w:szCs w:val="24"/>
                    </w:rPr>
                    <w:t xml:space="preserve"> </w:t>
                  </w:r>
                  <w:proofErr w:type="spellStart"/>
                  <w:r w:rsidRPr="00783DC2">
                    <w:rPr>
                      <w:szCs w:val="24"/>
                    </w:rPr>
                    <w:t>şi</w:t>
                  </w:r>
                  <w:proofErr w:type="spellEnd"/>
                  <w:r w:rsidRPr="00783DC2">
                    <w:rPr>
                      <w:szCs w:val="24"/>
                    </w:rPr>
                    <w:t xml:space="preserve"> </w:t>
                  </w:r>
                  <w:proofErr w:type="spellStart"/>
                  <w:r w:rsidRPr="00783DC2">
                    <w:rPr>
                      <w:szCs w:val="24"/>
                    </w:rPr>
                    <w:t>funcţionale</w:t>
                  </w:r>
                  <w:proofErr w:type="spellEnd"/>
                </w:p>
              </w:tc>
              <w:tc>
                <w:tcPr>
                  <w:tcW w:w="1433" w:type="dxa"/>
                  <w:tcBorders>
                    <w:top w:val="single" w:sz="4" w:space="0" w:color="auto"/>
                    <w:left w:val="single" w:sz="4" w:space="0" w:color="auto"/>
                    <w:bottom w:val="single" w:sz="4" w:space="0" w:color="auto"/>
                    <w:right w:val="single" w:sz="4" w:space="0" w:color="auto"/>
                  </w:tcBorders>
                </w:tcPr>
                <w:p w14:paraId="63653045" w14:textId="77777777" w:rsidR="00325C6F" w:rsidRPr="00783DC2" w:rsidRDefault="00325C6F" w:rsidP="007B1832">
                  <w:pPr>
                    <w:jc w:val="center"/>
                    <w:rPr>
                      <w:szCs w:val="24"/>
                    </w:rPr>
                  </w:pPr>
                </w:p>
              </w:tc>
            </w:tr>
            <w:tr w:rsidR="00325C6F" w:rsidRPr="00783DC2" w14:paraId="395B40A9" w14:textId="44EA65CA" w:rsidTr="00563739">
              <w:trPr>
                <w:cantSplit/>
                <w:trHeight w:val="237"/>
                <w:jc w:val="center"/>
              </w:trPr>
              <w:tc>
                <w:tcPr>
                  <w:tcW w:w="796" w:type="dxa"/>
                  <w:tcBorders>
                    <w:top w:val="single" w:sz="4" w:space="0" w:color="auto"/>
                    <w:left w:val="single" w:sz="4" w:space="0" w:color="auto"/>
                    <w:bottom w:val="single" w:sz="4" w:space="0" w:color="auto"/>
                    <w:right w:val="single" w:sz="4" w:space="0" w:color="auto"/>
                  </w:tcBorders>
                  <w:vAlign w:val="center"/>
                </w:tcPr>
                <w:p w14:paraId="2B511721" w14:textId="77777777" w:rsidR="00325C6F" w:rsidRPr="00783DC2" w:rsidRDefault="00325C6F" w:rsidP="007B1832">
                  <w:pPr>
                    <w:ind w:left="-81" w:right="-78"/>
                    <w:jc w:val="center"/>
                    <w:rPr>
                      <w:bCs/>
                      <w:szCs w:val="24"/>
                    </w:rPr>
                  </w:pPr>
                  <w:r>
                    <w:rPr>
                      <w:bCs/>
                      <w:szCs w:val="24"/>
                    </w:rPr>
                    <w:t>1</w:t>
                  </w:r>
                  <w:r w:rsidRPr="00783DC2">
                    <w:rPr>
                      <w:bCs/>
                      <w:szCs w:val="24"/>
                    </w:rPr>
                    <w:t>.</w:t>
                  </w:r>
                  <w:r>
                    <w:rPr>
                      <w:bCs/>
                      <w:szCs w:val="24"/>
                    </w:rPr>
                    <w:t>4</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60F11418" w14:textId="77777777" w:rsidR="00325C6F" w:rsidRPr="00783DC2" w:rsidRDefault="00325C6F" w:rsidP="007B1832">
                  <w:pPr>
                    <w:rPr>
                      <w:szCs w:val="24"/>
                    </w:rPr>
                  </w:pPr>
                  <w:proofErr w:type="spellStart"/>
                  <w:r w:rsidRPr="00783DC2">
                    <w:rPr>
                      <w:szCs w:val="24"/>
                    </w:rPr>
                    <w:t>Montaj</w:t>
                  </w:r>
                  <w:proofErr w:type="spellEnd"/>
                  <w:r w:rsidRPr="00783DC2">
                    <w:rPr>
                      <w:szCs w:val="24"/>
                    </w:rPr>
                    <w:t xml:space="preserve"> </w:t>
                  </w:r>
                  <w:proofErr w:type="spellStart"/>
                  <w:r w:rsidRPr="00783DC2">
                    <w:rPr>
                      <w:szCs w:val="24"/>
                    </w:rPr>
                    <w:t>utilaje</w:t>
                  </w:r>
                  <w:proofErr w:type="spellEnd"/>
                  <w:r w:rsidRPr="00783DC2">
                    <w:rPr>
                      <w:szCs w:val="24"/>
                    </w:rPr>
                    <w:t xml:space="preserve">, </w:t>
                  </w:r>
                  <w:proofErr w:type="spellStart"/>
                  <w:r w:rsidRPr="00783DC2">
                    <w:rPr>
                      <w:szCs w:val="24"/>
                    </w:rPr>
                    <w:t>echipamente</w:t>
                  </w:r>
                  <w:proofErr w:type="spellEnd"/>
                  <w:r w:rsidRPr="00783DC2">
                    <w:rPr>
                      <w:szCs w:val="24"/>
                    </w:rPr>
                    <w:t xml:space="preserve"> </w:t>
                  </w:r>
                  <w:proofErr w:type="spellStart"/>
                  <w:r w:rsidRPr="00783DC2">
                    <w:rPr>
                      <w:szCs w:val="24"/>
                    </w:rPr>
                    <w:t>tehnologice</w:t>
                  </w:r>
                  <w:proofErr w:type="spellEnd"/>
                  <w:r w:rsidRPr="00783DC2">
                    <w:rPr>
                      <w:szCs w:val="24"/>
                    </w:rPr>
                    <w:t xml:space="preserve"> </w:t>
                  </w:r>
                  <w:proofErr w:type="spellStart"/>
                  <w:r w:rsidRPr="00783DC2">
                    <w:rPr>
                      <w:szCs w:val="24"/>
                    </w:rPr>
                    <w:t>şi</w:t>
                  </w:r>
                  <w:proofErr w:type="spellEnd"/>
                  <w:r w:rsidRPr="00783DC2">
                    <w:rPr>
                      <w:szCs w:val="24"/>
                    </w:rPr>
                    <w:t xml:space="preserve"> </w:t>
                  </w:r>
                  <w:proofErr w:type="spellStart"/>
                  <w:r w:rsidRPr="00783DC2">
                    <w:rPr>
                      <w:szCs w:val="24"/>
                    </w:rPr>
                    <w:t>funcţionale</w:t>
                  </w:r>
                  <w:proofErr w:type="spellEnd"/>
                </w:p>
              </w:tc>
              <w:tc>
                <w:tcPr>
                  <w:tcW w:w="1433" w:type="dxa"/>
                  <w:tcBorders>
                    <w:top w:val="single" w:sz="4" w:space="0" w:color="auto"/>
                    <w:left w:val="single" w:sz="4" w:space="0" w:color="auto"/>
                    <w:bottom w:val="single" w:sz="4" w:space="0" w:color="auto"/>
                    <w:right w:val="single" w:sz="4" w:space="0" w:color="auto"/>
                  </w:tcBorders>
                </w:tcPr>
                <w:p w14:paraId="596E4B0C" w14:textId="77777777" w:rsidR="00325C6F" w:rsidRPr="00783DC2" w:rsidRDefault="00325C6F" w:rsidP="007B1832">
                  <w:pPr>
                    <w:jc w:val="center"/>
                    <w:rPr>
                      <w:szCs w:val="24"/>
                    </w:rPr>
                  </w:pPr>
                </w:p>
              </w:tc>
            </w:tr>
            <w:tr w:rsidR="00325C6F" w:rsidRPr="00783DC2" w14:paraId="3FBD7140" w14:textId="6380F18D" w:rsidTr="00563739">
              <w:trPr>
                <w:cantSplit/>
                <w:trHeight w:val="83"/>
                <w:jc w:val="center"/>
              </w:trPr>
              <w:tc>
                <w:tcPr>
                  <w:tcW w:w="796" w:type="dxa"/>
                  <w:tcBorders>
                    <w:top w:val="single" w:sz="4" w:space="0" w:color="auto"/>
                    <w:left w:val="single" w:sz="4" w:space="0" w:color="auto"/>
                    <w:bottom w:val="single" w:sz="4" w:space="0" w:color="auto"/>
                    <w:right w:val="single" w:sz="4" w:space="0" w:color="auto"/>
                  </w:tcBorders>
                  <w:vAlign w:val="center"/>
                </w:tcPr>
                <w:p w14:paraId="7CCC6C55" w14:textId="77777777" w:rsidR="00325C6F" w:rsidRPr="00783DC2" w:rsidRDefault="00325C6F" w:rsidP="007B1832">
                  <w:pPr>
                    <w:ind w:left="-81" w:right="-78"/>
                    <w:jc w:val="center"/>
                    <w:rPr>
                      <w:bCs/>
                      <w:szCs w:val="24"/>
                    </w:rPr>
                  </w:pPr>
                  <w:r>
                    <w:rPr>
                      <w:bCs/>
                      <w:szCs w:val="24"/>
                    </w:rPr>
                    <w:t>2.</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4964EA05" w14:textId="77777777" w:rsidR="00325C6F" w:rsidRPr="00783DC2" w:rsidRDefault="00325C6F" w:rsidP="007B1832">
                  <w:pPr>
                    <w:rPr>
                      <w:szCs w:val="24"/>
                    </w:rPr>
                  </w:pPr>
                  <w:proofErr w:type="spellStart"/>
                  <w:r w:rsidRPr="00783DC2">
                    <w:rPr>
                      <w:szCs w:val="24"/>
                    </w:rPr>
                    <w:t>Achizitie</w:t>
                  </w:r>
                  <w:proofErr w:type="spellEnd"/>
                  <w:r w:rsidRPr="00783DC2">
                    <w:rPr>
                      <w:szCs w:val="24"/>
                    </w:rPr>
                    <w:t xml:space="preserve"> EMS</w:t>
                  </w:r>
                </w:p>
              </w:tc>
              <w:tc>
                <w:tcPr>
                  <w:tcW w:w="1433" w:type="dxa"/>
                  <w:tcBorders>
                    <w:top w:val="single" w:sz="4" w:space="0" w:color="auto"/>
                    <w:left w:val="single" w:sz="4" w:space="0" w:color="auto"/>
                    <w:bottom w:val="single" w:sz="4" w:space="0" w:color="auto"/>
                    <w:right w:val="single" w:sz="4" w:space="0" w:color="auto"/>
                  </w:tcBorders>
                </w:tcPr>
                <w:p w14:paraId="59228841" w14:textId="77777777" w:rsidR="00325C6F" w:rsidRPr="00783DC2" w:rsidRDefault="00325C6F" w:rsidP="007B1832">
                  <w:pPr>
                    <w:jc w:val="center"/>
                    <w:rPr>
                      <w:szCs w:val="24"/>
                    </w:rPr>
                  </w:pPr>
                </w:p>
              </w:tc>
            </w:tr>
            <w:tr w:rsidR="00325C6F" w:rsidRPr="00783DC2" w14:paraId="56303BFA" w14:textId="24774C9B" w:rsidTr="00563739">
              <w:trPr>
                <w:cantSplit/>
                <w:trHeight w:val="83"/>
                <w:jc w:val="center"/>
              </w:trPr>
              <w:tc>
                <w:tcPr>
                  <w:tcW w:w="796" w:type="dxa"/>
                  <w:vMerge w:val="restart"/>
                  <w:tcBorders>
                    <w:top w:val="single" w:sz="4" w:space="0" w:color="auto"/>
                    <w:left w:val="single" w:sz="4" w:space="0" w:color="auto"/>
                    <w:right w:val="single" w:sz="4" w:space="0" w:color="auto"/>
                  </w:tcBorders>
                </w:tcPr>
                <w:p w14:paraId="61AE8C40" w14:textId="77777777" w:rsidR="00325C6F" w:rsidRPr="00783DC2" w:rsidRDefault="00325C6F" w:rsidP="007B1832">
                  <w:pPr>
                    <w:ind w:left="-81" w:right="-78"/>
                    <w:jc w:val="center"/>
                    <w:rPr>
                      <w:b/>
                      <w:szCs w:val="24"/>
                    </w:rPr>
                  </w:pPr>
                </w:p>
              </w:tc>
              <w:tc>
                <w:tcPr>
                  <w:tcW w:w="1403" w:type="dxa"/>
                  <w:vMerge w:val="restart"/>
                  <w:tcBorders>
                    <w:top w:val="single" w:sz="4" w:space="0" w:color="auto"/>
                    <w:left w:val="single" w:sz="4" w:space="0" w:color="auto"/>
                    <w:right w:val="single" w:sz="4" w:space="0" w:color="auto"/>
                  </w:tcBorders>
                </w:tcPr>
                <w:p w14:paraId="00475197" w14:textId="77777777" w:rsidR="00325C6F" w:rsidRPr="00783DC2" w:rsidRDefault="00325C6F" w:rsidP="007B1832">
                  <w:pPr>
                    <w:rPr>
                      <w:b/>
                      <w:szCs w:val="24"/>
                    </w:rPr>
                  </w:pPr>
                  <w:r w:rsidRPr="00783DC2">
                    <w:rPr>
                      <w:b/>
                      <w:szCs w:val="24"/>
                    </w:rPr>
                    <w:t>TOTAL GENERAL</w:t>
                  </w:r>
                </w:p>
              </w:tc>
              <w:tc>
                <w:tcPr>
                  <w:tcW w:w="737" w:type="dxa"/>
                  <w:tcBorders>
                    <w:top w:val="single" w:sz="4" w:space="0" w:color="auto"/>
                    <w:left w:val="single" w:sz="4" w:space="0" w:color="auto"/>
                    <w:bottom w:val="single" w:sz="4" w:space="0" w:color="auto"/>
                    <w:right w:val="single" w:sz="4" w:space="0" w:color="auto"/>
                  </w:tcBorders>
                </w:tcPr>
                <w:p w14:paraId="4B11B544" w14:textId="77777777" w:rsidR="00325C6F" w:rsidRPr="00783DC2" w:rsidRDefault="00325C6F" w:rsidP="007B1832">
                  <w:pPr>
                    <w:jc w:val="center"/>
                    <w:rPr>
                      <w:b/>
                      <w:szCs w:val="24"/>
                    </w:rPr>
                  </w:pPr>
                  <w:r w:rsidRPr="00783DC2">
                    <w:rPr>
                      <w:b/>
                      <w:szCs w:val="24"/>
                    </w:rPr>
                    <w:t>Lei</w:t>
                  </w:r>
                </w:p>
              </w:tc>
              <w:tc>
                <w:tcPr>
                  <w:tcW w:w="1433" w:type="dxa"/>
                  <w:tcBorders>
                    <w:top w:val="single" w:sz="4" w:space="0" w:color="auto"/>
                    <w:left w:val="single" w:sz="4" w:space="0" w:color="auto"/>
                    <w:bottom w:val="single" w:sz="4" w:space="0" w:color="auto"/>
                    <w:right w:val="single" w:sz="4" w:space="0" w:color="auto"/>
                  </w:tcBorders>
                </w:tcPr>
                <w:p w14:paraId="70C8E0C8" w14:textId="77777777" w:rsidR="00325C6F" w:rsidRPr="00783DC2" w:rsidRDefault="00325C6F" w:rsidP="007B1832">
                  <w:pPr>
                    <w:rPr>
                      <w:szCs w:val="24"/>
                    </w:rPr>
                  </w:pPr>
                </w:p>
              </w:tc>
            </w:tr>
            <w:tr w:rsidR="00325C6F" w:rsidRPr="00783DC2" w14:paraId="797862CF" w14:textId="36ED2184" w:rsidTr="00563739">
              <w:trPr>
                <w:cantSplit/>
                <w:trHeight w:val="138"/>
                <w:jc w:val="center"/>
              </w:trPr>
              <w:tc>
                <w:tcPr>
                  <w:tcW w:w="796" w:type="dxa"/>
                  <w:vMerge/>
                  <w:tcBorders>
                    <w:left w:val="single" w:sz="4" w:space="0" w:color="auto"/>
                    <w:bottom w:val="single" w:sz="4" w:space="0" w:color="auto"/>
                    <w:right w:val="single" w:sz="4" w:space="0" w:color="auto"/>
                  </w:tcBorders>
                </w:tcPr>
                <w:p w14:paraId="1379D0AC" w14:textId="77777777" w:rsidR="00325C6F" w:rsidRPr="00783DC2" w:rsidRDefault="00325C6F" w:rsidP="007B1832">
                  <w:pPr>
                    <w:ind w:left="-81" w:right="-78"/>
                    <w:jc w:val="center"/>
                    <w:rPr>
                      <w:b/>
                      <w:szCs w:val="24"/>
                    </w:rPr>
                  </w:pPr>
                </w:p>
              </w:tc>
              <w:tc>
                <w:tcPr>
                  <w:tcW w:w="1403" w:type="dxa"/>
                  <w:vMerge/>
                  <w:tcBorders>
                    <w:left w:val="single" w:sz="4" w:space="0" w:color="auto"/>
                    <w:bottom w:val="single" w:sz="4" w:space="0" w:color="auto"/>
                    <w:right w:val="single" w:sz="4" w:space="0" w:color="auto"/>
                  </w:tcBorders>
                </w:tcPr>
                <w:p w14:paraId="43470AB6" w14:textId="77777777" w:rsidR="00325C6F" w:rsidRPr="00783DC2" w:rsidRDefault="00325C6F" w:rsidP="007B1832">
                  <w:pPr>
                    <w:rPr>
                      <w:b/>
                      <w:szCs w:val="24"/>
                    </w:rPr>
                  </w:pPr>
                </w:p>
              </w:tc>
              <w:tc>
                <w:tcPr>
                  <w:tcW w:w="737" w:type="dxa"/>
                  <w:tcBorders>
                    <w:top w:val="single" w:sz="4" w:space="0" w:color="auto"/>
                    <w:left w:val="single" w:sz="4" w:space="0" w:color="auto"/>
                    <w:bottom w:val="single" w:sz="4" w:space="0" w:color="auto"/>
                    <w:right w:val="single" w:sz="4" w:space="0" w:color="auto"/>
                  </w:tcBorders>
                </w:tcPr>
                <w:p w14:paraId="1772B2C0" w14:textId="77777777" w:rsidR="00325C6F" w:rsidRPr="00783DC2" w:rsidRDefault="00325C6F" w:rsidP="007B1832">
                  <w:pPr>
                    <w:jc w:val="center"/>
                    <w:rPr>
                      <w:b/>
                      <w:szCs w:val="24"/>
                    </w:rPr>
                  </w:pPr>
                  <w:r w:rsidRPr="00783DC2">
                    <w:rPr>
                      <w:b/>
                      <w:szCs w:val="24"/>
                    </w:rPr>
                    <w:t>Euro ***</w:t>
                  </w:r>
                </w:p>
              </w:tc>
              <w:tc>
                <w:tcPr>
                  <w:tcW w:w="1433" w:type="dxa"/>
                  <w:tcBorders>
                    <w:top w:val="single" w:sz="4" w:space="0" w:color="auto"/>
                    <w:left w:val="single" w:sz="4" w:space="0" w:color="auto"/>
                    <w:bottom w:val="single" w:sz="4" w:space="0" w:color="auto"/>
                    <w:right w:val="single" w:sz="4" w:space="0" w:color="auto"/>
                  </w:tcBorders>
                </w:tcPr>
                <w:p w14:paraId="2E5DD43A" w14:textId="77777777" w:rsidR="00325C6F" w:rsidRPr="00783DC2" w:rsidRDefault="00325C6F" w:rsidP="007B1832">
                  <w:pPr>
                    <w:rPr>
                      <w:szCs w:val="24"/>
                    </w:rPr>
                  </w:pPr>
                </w:p>
              </w:tc>
            </w:tr>
          </w:tbl>
          <w:p w14:paraId="67EC1ED6" w14:textId="77777777" w:rsidR="00A57F94" w:rsidRDefault="00A57F94" w:rsidP="00D57409">
            <w:pPr>
              <w:jc w:val="both"/>
              <w:rPr>
                <w:rFonts w:cs="Times New Roman"/>
                <w:b/>
                <w:i/>
                <w:noProof/>
                <w:szCs w:val="24"/>
                <w:lang w:val="ro-RO"/>
              </w:rPr>
            </w:pPr>
          </w:p>
          <w:p w14:paraId="6867DCBE" w14:textId="77777777" w:rsidR="00E611A0" w:rsidRDefault="00E611A0" w:rsidP="00D57409">
            <w:pPr>
              <w:jc w:val="both"/>
              <w:rPr>
                <w:rFonts w:cs="Times New Roman"/>
                <w:b/>
                <w:i/>
                <w:noProof/>
                <w:szCs w:val="24"/>
                <w:lang w:val="ro-RO"/>
              </w:rPr>
            </w:pPr>
          </w:p>
          <w:tbl>
            <w:tblPr>
              <w:tblW w:w="8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1403"/>
              <w:gridCol w:w="737"/>
              <w:gridCol w:w="1452"/>
              <w:gridCol w:w="2138"/>
              <w:gridCol w:w="1843"/>
            </w:tblGrid>
            <w:tr w:rsidR="00477E76" w:rsidRPr="00783DC2" w14:paraId="7039B230" w14:textId="7864F673" w:rsidTr="00563739">
              <w:trPr>
                <w:cantSplit/>
                <w:trHeight w:val="2065"/>
                <w:tblHeader/>
                <w:jc w:val="center"/>
              </w:trPr>
              <w:tc>
                <w:tcPr>
                  <w:tcW w:w="691" w:type="dxa"/>
                  <w:tcBorders>
                    <w:top w:val="single" w:sz="4" w:space="0" w:color="auto"/>
                    <w:left w:val="single" w:sz="4" w:space="0" w:color="auto"/>
                    <w:right w:val="single" w:sz="4" w:space="0" w:color="auto"/>
                  </w:tcBorders>
                  <w:tcMar>
                    <w:left w:w="0" w:type="dxa"/>
                    <w:right w:w="0" w:type="dxa"/>
                  </w:tcMar>
                  <w:vAlign w:val="center"/>
                </w:tcPr>
                <w:p w14:paraId="21710DAE" w14:textId="77777777" w:rsidR="00477E76" w:rsidRPr="00563739" w:rsidRDefault="00477E76" w:rsidP="007B1832">
                  <w:pPr>
                    <w:ind w:left="-81" w:right="-78"/>
                    <w:jc w:val="center"/>
                    <w:rPr>
                      <w:b/>
                      <w:sz w:val="20"/>
                      <w:szCs w:val="20"/>
                    </w:rPr>
                  </w:pPr>
                  <w:r w:rsidRPr="00563739">
                    <w:rPr>
                      <w:b/>
                      <w:sz w:val="20"/>
                      <w:szCs w:val="20"/>
                    </w:rPr>
                    <w:lastRenderedPageBreak/>
                    <w:t xml:space="preserve">Cap/ </w:t>
                  </w:r>
                  <w:proofErr w:type="spellStart"/>
                  <w:r w:rsidRPr="00563739">
                    <w:rPr>
                      <w:b/>
                      <w:sz w:val="20"/>
                      <w:szCs w:val="20"/>
                    </w:rPr>
                    <w:t>Subcap</w:t>
                  </w:r>
                  <w:proofErr w:type="spellEnd"/>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0926A095" w14:textId="77777777" w:rsidR="00477E76" w:rsidRPr="00563739" w:rsidRDefault="00477E76" w:rsidP="00563739">
                  <w:pPr>
                    <w:ind w:right="-77"/>
                    <w:jc w:val="both"/>
                    <w:rPr>
                      <w:b/>
                      <w:sz w:val="20"/>
                      <w:szCs w:val="20"/>
                    </w:rPr>
                  </w:pPr>
                  <w:proofErr w:type="spellStart"/>
                  <w:r w:rsidRPr="00563739">
                    <w:rPr>
                      <w:b/>
                      <w:sz w:val="20"/>
                      <w:szCs w:val="20"/>
                    </w:rPr>
                    <w:t>Denumirea</w:t>
                  </w:r>
                  <w:proofErr w:type="spellEnd"/>
                  <w:r w:rsidRPr="00563739">
                    <w:rPr>
                      <w:b/>
                      <w:sz w:val="20"/>
                      <w:szCs w:val="20"/>
                    </w:rPr>
                    <w:t xml:space="preserve"> </w:t>
                  </w:r>
                  <w:proofErr w:type="spellStart"/>
                  <w:r w:rsidRPr="00563739">
                    <w:rPr>
                      <w:b/>
                      <w:sz w:val="20"/>
                      <w:szCs w:val="20"/>
                    </w:rPr>
                    <w:t>capitolelor</w:t>
                  </w:r>
                  <w:proofErr w:type="spellEnd"/>
                  <w:r w:rsidRPr="00563739">
                    <w:rPr>
                      <w:b/>
                      <w:sz w:val="20"/>
                      <w:szCs w:val="20"/>
                    </w:rPr>
                    <w:t xml:space="preserve"> </w:t>
                  </w:r>
                  <w:proofErr w:type="spellStart"/>
                  <w:r w:rsidRPr="00563739">
                    <w:rPr>
                      <w:b/>
                      <w:sz w:val="20"/>
                      <w:szCs w:val="20"/>
                    </w:rPr>
                    <w:t>si</w:t>
                  </w:r>
                  <w:proofErr w:type="spellEnd"/>
                  <w:r w:rsidRPr="00563739">
                    <w:rPr>
                      <w:b/>
                      <w:sz w:val="20"/>
                      <w:szCs w:val="20"/>
                    </w:rPr>
                    <w:t xml:space="preserve"> </w:t>
                  </w:r>
                  <w:proofErr w:type="spellStart"/>
                  <w:r w:rsidRPr="00563739">
                    <w:rPr>
                      <w:b/>
                      <w:sz w:val="20"/>
                      <w:szCs w:val="20"/>
                    </w:rPr>
                    <w:t>subcapitolelor</w:t>
                  </w:r>
                  <w:proofErr w:type="spellEnd"/>
                  <w:r w:rsidRPr="00563739">
                    <w:rPr>
                      <w:b/>
                      <w:sz w:val="20"/>
                      <w:szCs w:val="20"/>
                    </w:rPr>
                    <w:t xml:space="preserve"> de </w:t>
                  </w:r>
                  <w:proofErr w:type="spellStart"/>
                  <w:r w:rsidRPr="00563739">
                    <w:rPr>
                      <w:b/>
                      <w:sz w:val="20"/>
                      <w:szCs w:val="20"/>
                    </w:rPr>
                    <w:t>cheltuieli</w:t>
                  </w:r>
                  <w:proofErr w:type="spellEnd"/>
                  <w:r w:rsidRPr="00563739">
                    <w:rPr>
                      <w:b/>
                      <w:sz w:val="20"/>
                      <w:szCs w:val="20"/>
                    </w:rPr>
                    <w:t xml:space="preserve"> </w:t>
                  </w:r>
                </w:p>
              </w:tc>
              <w:tc>
                <w:tcPr>
                  <w:tcW w:w="1452" w:type="dxa"/>
                  <w:tcBorders>
                    <w:top w:val="single" w:sz="4" w:space="0" w:color="auto"/>
                    <w:left w:val="single" w:sz="4" w:space="0" w:color="auto"/>
                    <w:right w:val="single" w:sz="4" w:space="0" w:color="auto"/>
                  </w:tcBorders>
                  <w:vAlign w:val="center"/>
                </w:tcPr>
                <w:p w14:paraId="7F5A043C" w14:textId="1DBFB1ED" w:rsidR="00477E76" w:rsidRPr="00563739" w:rsidRDefault="00325C6F" w:rsidP="00563739">
                  <w:pPr>
                    <w:ind w:left="-137" w:right="-63"/>
                    <w:jc w:val="both"/>
                    <w:rPr>
                      <w:b/>
                      <w:sz w:val="20"/>
                      <w:szCs w:val="20"/>
                    </w:rPr>
                  </w:pPr>
                  <w:proofErr w:type="spellStart"/>
                  <w:r w:rsidRPr="00563739">
                    <w:rPr>
                      <w:b/>
                      <w:sz w:val="20"/>
                      <w:szCs w:val="20"/>
                    </w:rPr>
                    <w:t>Costurile</w:t>
                  </w:r>
                  <w:proofErr w:type="spellEnd"/>
                  <w:r w:rsidRPr="00563739">
                    <w:rPr>
                      <w:b/>
                      <w:sz w:val="20"/>
                      <w:szCs w:val="20"/>
                    </w:rPr>
                    <w:t xml:space="preserve"> </w:t>
                  </w:r>
                  <w:proofErr w:type="spellStart"/>
                  <w:r w:rsidRPr="00563739">
                    <w:rPr>
                      <w:b/>
                      <w:sz w:val="20"/>
                      <w:szCs w:val="20"/>
                    </w:rPr>
                    <w:t>investiției</w:t>
                  </w:r>
                  <w:proofErr w:type="spellEnd"/>
                  <w:r w:rsidRPr="00563739">
                    <w:rPr>
                      <w:b/>
                      <w:sz w:val="20"/>
                      <w:szCs w:val="20"/>
                    </w:rPr>
                    <w:t xml:space="preserve"> </w:t>
                  </w:r>
                  <w:proofErr w:type="spellStart"/>
                  <w:r w:rsidRPr="00563739">
                    <w:rPr>
                      <w:b/>
                      <w:sz w:val="20"/>
                      <w:szCs w:val="20"/>
                    </w:rPr>
                    <w:t>în</w:t>
                  </w:r>
                  <w:proofErr w:type="spellEnd"/>
                  <w:r w:rsidRPr="00563739">
                    <w:rPr>
                      <w:b/>
                      <w:sz w:val="20"/>
                      <w:szCs w:val="20"/>
                    </w:rPr>
                    <w:t xml:space="preserve"> </w:t>
                  </w:r>
                  <w:proofErr w:type="spellStart"/>
                  <w:r w:rsidRPr="00563739">
                    <w:rPr>
                      <w:b/>
                      <w:sz w:val="20"/>
                      <w:szCs w:val="20"/>
                    </w:rPr>
                    <w:t>scenariul</w:t>
                  </w:r>
                  <w:proofErr w:type="spellEnd"/>
                  <w:r w:rsidRPr="00563739">
                    <w:rPr>
                      <w:b/>
                      <w:sz w:val="20"/>
                      <w:szCs w:val="20"/>
                    </w:rPr>
                    <w:t xml:space="preserve"> contrafactual </w:t>
                  </w:r>
                </w:p>
              </w:tc>
              <w:tc>
                <w:tcPr>
                  <w:tcW w:w="2138" w:type="dxa"/>
                  <w:tcBorders>
                    <w:top w:val="single" w:sz="4" w:space="0" w:color="auto"/>
                    <w:left w:val="single" w:sz="4" w:space="0" w:color="auto"/>
                    <w:right w:val="single" w:sz="4" w:space="0" w:color="auto"/>
                  </w:tcBorders>
                  <w:shd w:val="clear" w:color="auto" w:fill="D9D9D9" w:themeFill="background1" w:themeFillShade="D9"/>
                  <w:vAlign w:val="center"/>
                </w:tcPr>
                <w:p w14:paraId="267BA36F" w14:textId="4F662F63" w:rsidR="00477E76" w:rsidRPr="00563739" w:rsidRDefault="00325C6F" w:rsidP="00563739">
                  <w:pPr>
                    <w:jc w:val="both"/>
                    <w:rPr>
                      <w:b/>
                      <w:sz w:val="20"/>
                      <w:szCs w:val="20"/>
                    </w:rPr>
                  </w:pPr>
                  <w:proofErr w:type="spellStart"/>
                  <w:r w:rsidRPr="00563739">
                    <w:rPr>
                      <w:b/>
                      <w:sz w:val="20"/>
                      <w:szCs w:val="20"/>
                    </w:rPr>
                    <w:t>Valoarea</w:t>
                  </w:r>
                  <w:proofErr w:type="spellEnd"/>
                  <w:r w:rsidRPr="00563739">
                    <w:rPr>
                      <w:b/>
                      <w:sz w:val="20"/>
                      <w:szCs w:val="20"/>
                    </w:rPr>
                    <w:t xml:space="preserve"> </w:t>
                  </w:r>
                  <w:proofErr w:type="spellStart"/>
                  <w:r w:rsidRPr="00563739">
                    <w:rPr>
                      <w:b/>
                      <w:sz w:val="20"/>
                      <w:szCs w:val="20"/>
                    </w:rPr>
                    <w:t>totală</w:t>
                  </w:r>
                  <w:proofErr w:type="spellEnd"/>
                  <w:r w:rsidRPr="00563739">
                    <w:rPr>
                      <w:b/>
                      <w:sz w:val="20"/>
                      <w:szCs w:val="20"/>
                    </w:rPr>
                    <w:t xml:space="preserve"> a </w:t>
                  </w:r>
                  <w:proofErr w:type="spellStart"/>
                  <w:r w:rsidRPr="00563739">
                    <w:rPr>
                      <w:b/>
                      <w:sz w:val="20"/>
                      <w:szCs w:val="20"/>
                    </w:rPr>
                    <w:t>cheltuielii</w:t>
                  </w:r>
                  <w:proofErr w:type="spellEnd"/>
                  <w:r w:rsidRPr="00563739">
                    <w:rPr>
                      <w:b/>
                      <w:sz w:val="20"/>
                      <w:szCs w:val="20"/>
                    </w:rPr>
                    <w:t xml:space="preserve"> </w:t>
                  </w:r>
                  <w:proofErr w:type="spellStart"/>
                  <w:r w:rsidRPr="00563739">
                    <w:rPr>
                      <w:b/>
                      <w:sz w:val="20"/>
                      <w:szCs w:val="20"/>
                    </w:rPr>
                    <w:t>eligibile</w:t>
                  </w:r>
                  <w:proofErr w:type="spellEnd"/>
                  <w:r w:rsidRPr="00563739">
                    <w:rPr>
                      <w:b/>
                      <w:sz w:val="20"/>
                      <w:szCs w:val="20"/>
                    </w:rPr>
                    <w:t xml:space="preserve"> din </w:t>
                  </w:r>
                  <w:proofErr w:type="spellStart"/>
                  <w:r w:rsidRPr="00563739">
                    <w:rPr>
                      <w:b/>
                      <w:sz w:val="20"/>
                      <w:szCs w:val="20"/>
                    </w:rPr>
                    <w:t>măsura</w:t>
                  </w:r>
                  <w:proofErr w:type="spellEnd"/>
                  <w:r w:rsidRPr="00563739">
                    <w:rPr>
                      <w:b/>
                      <w:sz w:val="20"/>
                      <w:szCs w:val="20"/>
                    </w:rPr>
                    <w:t xml:space="preserve"> I5, </w:t>
                  </w:r>
                  <w:proofErr w:type="spellStart"/>
                  <w:r w:rsidRPr="00563739">
                    <w:rPr>
                      <w:b/>
                      <w:sz w:val="20"/>
                      <w:szCs w:val="20"/>
                    </w:rPr>
                    <w:t>rezultate</w:t>
                  </w:r>
                  <w:proofErr w:type="spellEnd"/>
                  <w:r w:rsidRPr="00563739">
                    <w:rPr>
                      <w:b/>
                      <w:sz w:val="20"/>
                      <w:szCs w:val="20"/>
                    </w:rPr>
                    <w:t xml:space="preserve"> </w:t>
                  </w:r>
                  <w:proofErr w:type="spellStart"/>
                  <w:r w:rsidRPr="00563739">
                    <w:rPr>
                      <w:b/>
                      <w:sz w:val="20"/>
                      <w:szCs w:val="20"/>
                    </w:rPr>
                    <w:t>în</w:t>
                  </w:r>
                  <w:proofErr w:type="spellEnd"/>
                  <w:r w:rsidRPr="00563739">
                    <w:rPr>
                      <w:b/>
                      <w:sz w:val="20"/>
                      <w:szCs w:val="20"/>
                    </w:rPr>
                    <w:t xml:space="preserve"> </w:t>
                  </w:r>
                  <w:proofErr w:type="spellStart"/>
                  <w:r w:rsidRPr="00563739">
                    <w:rPr>
                      <w:b/>
                      <w:sz w:val="20"/>
                      <w:szCs w:val="20"/>
                    </w:rPr>
                    <w:t>urma</w:t>
                  </w:r>
                  <w:proofErr w:type="spellEnd"/>
                  <w:r w:rsidRPr="00563739">
                    <w:rPr>
                      <w:b/>
                      <w:sz w:val="20"/>
                      <w:szCs w:val="20"/>
                    </w:rPr>
                    <w:t xml:space="preserve"> </w:t>
                  </w:r>
                  <w:proofErr w:type="spellStart"/>
                  <w:r w:rsidRPr="00563739">
                    <w:rPr>
                      <w:b/>
                      <w:sz w:val="20"/>
                      <w:szCs w:val="20"/>
                    </w:rPr>
                    <w:t>confruntării</w:t>
                  </w:r>
                  <w:proofErr w:type="spellEnd"/>
                  <w:r w:rsidRPr="00563739">
                    <w:rPr>
                      <w:b/>
                      <w:sz w:val="20"/>
                      <w:szCs w:val="20"/>
                    </w:rPr>
                    <w:t xml:space="preserve"> </w:t>
                  </w:r>
                  <w:proofErr w:type="spellStart"/>
                  <w:r w:rsidRPr="00563739">
                    <w:rPr>
                      <w:b/>
                      <w:sz w:val="20"/>
                      <w:szCs w:val="20"/>
                    </w:rPr>
                    <w:t>celor</w:t>
                  </w:r>
                  <w:proofErr w:type="spellEnd"/>
                  <w:r w:rsidRPr="00563739">
                    <w:rPr>
                      <w:b/>
                      <w:sz w:val="20"/>
                      <w:szCs w:val="20"/>
                    </w:rPr>
                    <w:t xml:space="preserve"> </w:t>
                  </w:r>
                  <w:proofErr w:type="spellStart"/>
                  <w:r w:rsidRPr="00563739">
                    <w:rPr>
                      <w:b/>
                      <w:sz w:val="20"/>
                      <w:szCs w:val="20"/>
                    </w:rPr>
                    <w:t>două</w:t>
                  </w:r>
                  <w:proofErr w:type="spellEnd"/>
                  <w:r w:rsidRPr="00563739">
                    <w:rPr>
                      <w:b/>
                      <w:sz w:val="20"/>
                      <w:szCs w:val="20"/>
                    </w:rPr>
                    <w:t xml:space="preserve"> </w:t>
                  </w:r>
                  <w:proofErr w:type="spellStart"/>
                  <w:r w:rsidRPr="00563739">
                    <w:rPr>
                      <w:b/>
                      <w:sz w:val="20"/>
                      <w:szCs w:val="20"/>
                    </w:rPr>
                    <w:t>scenarii</w:t>
                  </w:r>
                  <w:proofErr w:type="spellEnd"/>
                </w:p>
              </w:tc>
              <w:tc>
                <w:tcPr>
                  <w:tcW w:w="1843" w:type="dxa"/>
                  <w:tcBorders>
                    <w:top w:val="single" w:sz="4" w:space="0" w:color="auto"/>
                    <w:left w:val="single" w:sz="4" w:space="0" w:color="auto"/>
                    <w:right w:val="single" w:sz="4" w:space="0" w:color="auto"/>
                  </w:tcBorders>
                  <w:vAlign w:val="center"/>
                </w:tcPr>
                <w:p w14:paraId="544FA00C" w14:textId="21D04EA7" w:rsidR="00477E76" w:rsidRPr="00563739" w:rsidRDefault="00325C6F" w:rsidP="00563739">
                  <w:pPr>
                    <w:jc w:val="both"/>
                    <w:rPr>
                      <w:b/>
                      <w:sz w:val="20"/>
                      <w:szCs w:val="20"/>
                    </w:rPr>
                  </w:pPr>
                  <w:proofErr w:type="spellStart"/>
                  <w:r w:rsidRPr="00563739">
                    <w:rPr>
                      <w:b/>
                      <w:sz w:val="20"/>
                      <w:szCs w:val="20"/>
                    </w:rPr>
                    <w:t>Valoarea</w:t>
                  </w:r>
                  <w:proofErr w:type="spellEnd"/>
                  <w:r w:rsidRPr="00563739">
                    <w:rPr>
                      <w:b/>
                      <w:sz w:val="20"/>
                      <w:szCs w:val="20"/>
                    </w:rPr>
                    <w:t xml:space="preserve"> </w:t>
                  </w:r>
                  <w:proofErr w:type="spellStart"/>
                  <w:r w:rsidRPr="00563739">
                    <w:rPr>
                      <w:b/>
                      <w:sz w:val="20"/>
                      <w:szCs w:val="20"/>
                    </w:rPr>
                    <w:t>totală</w:t>
                  </w:r>
                  <w:proofErr w:type="spellEnd"/>
                  <w:r w:rsidRPr="00563739">
                    <w:rPr>
                      <w:b/>
                      <w:sz w:val="20"/>
                      <w:szCs w:val="20"/>
                    </w:rPr>
                    <w:t xml:space="preserve"> a </w:t>
                  </w:r>
                  <w:proofErr w:type="spellStart"/>
                  <w:r w:rsidRPr="00563739">
                    <w:rPr>
                      <w:b/>
                      <w:sz w:val="20"/>
                      <w:szCs w:val="20"/>
                    </w:rPr>
                    <w:t>cheltuielii</w:t>
                  </w:r>
                  <w:proofErr w:type="spellEnd"/>
                  <w:r w:rsidRPr="00563739">
                    <w:rPr>
                      <w:b/>
                      <w:sz w:val="20"/>
                      <w:szCs w:val="20"/>
                    </w:rPr>
                    <w:t xml:space="preserve"> </w:t>
                  </w:r>
                  <w:proofErr w:type="spellStart"/>
                  <w:r w:rsidRPr="00563739">
                    <w:rPr>
                      <w:b/>
                      <w:sz w:val="20"/>
                      <w:szCs w:val="20"/>
                    </w:rPr>
                    <w:t>eligibile</w:t>
                  </w:r>
                  <w:proofErr w:type="spellEnd"/>
                  <w:r w:rsidRPr="00563739">
                    <w:rPr>
                      <w:b/>
                      <w:sz w:val="20"/>
                      <w:szCs w:val="20"/>
                    </w:rPr>
                    <w:t xml:space="preserve"> cu TVA </w:t>
                  </w:r>
                  <w:proofErr w:type="spellStart"/>
                  <w:r w:rsidRPr="00563739">
                    <w:rPr>
                      <w:b/>
                      <w:sz w:val="20"/>
                      <w:szCs w:val="20"/>
                    </w:rPr>
                    <w:t>asigurată</w:t>
                  </w:r>
                  <w:proofErr w:type="spellEnd"/>
                  <w:r w:rsidRPr="00563739">
                    <w:rPr>
                      <w:b/>
                      <w:sz w:val="20"/>
                      <w:szCs w:val="20"/>
                    </w:rPr>
                    <w:t xml:space="preserve"> din </w:t>
                  </w:r>
                  <w:proofErr w:type="spellStart"/>
                  <w:r w:rsidRPr="00563739">
                    <w:rPr>
                      <w:b/>
                      <w:sz w:val="20"/>
                      <w:szCs w:val="20"/>
                    </w:rPr>
                    <w:t>cofinanțare</w:t>
                  </w:r>
                  <w:proofErr w:type="spellEnd"/>
                </w:p>
              </w:tc>
            </w:tr>
            <w:tr w:rsidR="00477E76" w:rsidRPr="00783DC2" w14:paraId="2E7D7855" w14:textId="0DBBD962" w:rsidTr="00563739">
              <w:trPr>
                <w:cantSplit/>
                <w:trHeight w:val="97"/>
                <w:tblHeader/>
                <w:jc w:val="center"/>
              </w:trPr>
              <w:tc>
                <w:tcPr>
                  <w:tcW w:w="691" w:type="dxa"/>
                  <w:tcBorders>
                    <w:top w:val="single" w:sz="4" w:space="0" w:color="auto"/>
                    <w:left w:val="single" w:sz="4" w:space="0" w:color="auto"/>
                    <w:bottom w:val="single" w:sz="4" w:space="0" w:color="auto"/>
                    <w:right w:val="single" w:sz="4" w:space="0" w:color="auto"/>
                  </w:tcBorders>
                  <w:vAlign w:val="center"/>
                </w:tcPr>
                <w:p w14:paraId="7075C59C" w14:textId="77777777" w:rsidR="00477E76" w:rsidRPr="00783DC2" w:rsidRDefault="00477E76" w:rsidP="007B1832">
                  <w:pPr>
                    <w:ind w:left="-81" w:right="-78"/>
                    <w:jc w:val="center"/>
                    <w:rPr>
                      <w:b/>
                      <w:szCs w:val="24"/>
                    </w:rPr>
                  </w:pPr>
                  <w:r w:rsidRPr="00783DC2">
                    <w:rPr>
                      <w:b/>
                      <w:szCs w:val="24"/>
                    </w:rPr>
                    <w:t>0</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712ADA58" w14:textId="77777777" w:rsidR="00477E76" w:rsidRPr="00783DC2" w:rsidRDefault="00477E76" w:rsidP="007B1832">
                  <w:pPr>
                    <w:jc w:val="center"/>
                    <w:rPr>
                      <w:b/>
                      <w:szCs w:val="24"/>
                    </w:rPr>
                  </w:pPr>
                  <w:r w:rsidRPr="00783DC2">
                    <w:rPr>
                      <w:b/>
                      <w:szCs w:val="24"/>
                    </w:rPr>
                    <w:t>1</w:t>
                  </w:r>
                </w:p>
              </w:tc>
              <w:tc>
                <w:tcPr>
                  <w:tcW w:w="1452" w:type="dxa"/>
                  <w:tcBorders>
                    <w:top w:val="single" w:sz="4" w:space="0" w:color="auto"/>
                    <w:left w:val="single" w:sz="4" w:space="0" w:color="auto"/>
                    <w:bottom w:val="single" w:sz="4" w:space="0" w:color="auto"/>
                    <w:right w:val="single" w:sz="4" w:space="0" w:color="auto"/>
                  </w:tcBorders>
                </w:tcPr>
                <w:p w14:paraId="5749DF11" w14:textId="77777777" w:rsidR="00477E76" w:rsidRPr="00783DC2" w:rsidRDefault="00477E76" w:rsidP="007B1832">
                  <w:pPr>
                    <w:jc w:val="center"/>
                    <w:rPr>
                      <w:b/>
                      <w:szCs w:val="24"/>
                    </w:rPr>
                  </w:pPr>
                  <w:r w:rsidRPr="00783DC2">
                    <w:rPr>
                      <w:b/>
                      <w:szCs w:val="24"/>
                    </w:rPr>
                    <w:t>4</w:t>
                  </w:r>
                </w:p>
              </w:tc>
              <w:tc>
                <w:tcPr>
                  <w:tcW w:w="2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FF76CD" w14:textId="77777777" w:rsidR="00477E76" w:rsidRPr="00783DC2" w:rsidRDefault="00477E76" w:rsidP="007B1832">
                  <w:pPr>
                    <w:jc w:val="center"/>
                    <w:rPr>
                      <w:b/>
                      <w:szCs w:val="24"/>
                    </w:rPr>
                  </w:pPr>
                  <w:r w:rsidRPr="00783DC2">
                    <w:rPr>
                      <w:b/>
                      <w:szCs w:val="24"/>
                    </w:rPr>
                    <w:t>5</w:t>
                  </w:r>
                </w:p>
              </w:tc>
              <w:tc>
                <w:tcPr>
                  <w:tcW w:w="1843" w:type="dxa"/>
                  <w:tcBorders>
                    <w:top w:val="single" w:sz="4" w:space="0" w:color="auto"/>
                    <w:left w:val="single" w:sz="4" w:space="0" w:color="auto"/>
                    <w:bottom w:val="single" w:sz="4" w:space="0" w:color="auto"/>
                    <w:right w:val="single" w:sz="4" w:space="0" w:color="auto"/>
                  </w:tcBorders>
                </w:tcPr>
                <w:p w14:paraId="7A8F4317" w14:textId="1E34D730" w:rsidR="00477E76" w:rsidRPr="00783DC2" w:rsidRDefault="00325C6F" w:rsidP="007B1832">
                  <w:pPr>
                    <w:jc w:val="center"/>
                    <w:rPr>
                      <w:b/>
                      <w:szCs w:val="24"/>
                    </w:rPr>
                  </w:pPr>
                  <w:r>
                    <w:rPr>
                      <w:b/>
                      <w:szCs w:val="24"/>
                    </w:rPr>
                    <w:t>6</w:t>
                  </w:r>
                </w:p>
              </w:tc>
            </w:tr>
            <w:tr w:rsidR="00477E76" w:rsidRPr="00783DC2" w14:paraId="37705ABE" w14:textId="650DB5ED" w:rsidTr="00563739">
              <w:trPr>
                <w:cantSplit/>
                <w:trHeight w:val="1392"/>
                <w:jc w:val="center"/>
              </w:trPr>
              <w:tc>
                <w:tcPr>
                  <w:tcW w:w="691" w:type="dxa"/>
                  <w:tcBorders>
                    <w:top w:val="single" w:sz="4" w:space="0" w:color="auto"/>
                    <w:left w:val="single" w:sz="4" w:space="0" w:color="auto"/>
                    <w:bottom w:val="single" w:sz="4" w:space="0" w:color="auto"/>
                    <w:right w:val="single" w:sz="4" w:space="0" w:color="auto"/>
                  </w:tcBorders>
                  <w:vAlign w:val="center"/>
                </w:tcPr>
                <w:p w14:paraId="1E7E10E6" w14:textId="77777777" w:rsidR="00477E76" w:rsidRPr="00783DC2" w:rsidRDefault="00477E76" w:rsidP="007B1832">
                  <w:pPr>
                    <w:ind w:left="-81" w:right="-78"/>
                    <w:jc w:val="center"/>
                    <w:rPr>
                      <w:bCs/>
                      <w:szCs w:val="24"/>
                    </w:rPr>
                  </w:pPr>
                  <w:r>
                    <w:rPr>
                      <w:bCs/>
                      <w:szCs w:val="24"/>
                    </w:rPr>
                    <w:t>1</w:t>
                  </w:r>
                  <w:r w:rsidRPr="00783DC2">
                    <w:rPr>
                      <w:bCs/>
                      <w:szCs w:val="24"/>
                    </w:rPr>
                    <w:t>.</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655B0DFC" w14:textId="77777777" w:rsidR="00477E76" w:rsidRPr="00783DC2" w:rsidRDefault="00477E76" w:rsidP="007B1832">
                  <w:pPr>
                    <w:rPr>
                      <w:szCs w:val="24"/>
                    </w:rPr>
                  </w:pPr>
                  <w:proofErr w:type="spellStart"/>
                  <w:r w:rsidRPr="00783DC2">
                    <w:rPr>
                      <w:szCs w:val="24"/>
                    </w:rPr>
                    <w:t>Cheltuieli</w:t>
                  </w:r>
                  <w:proofErr w:type="spellEnd"/>
                  <w:r w:rsidRPr="00783DC2">
                    <w:rPr>
                      <w:szCs w:val="24"/>
                    </w:rPr>
                    <w:t xml:space="preserve"> </w:t>
                  </w:r>
                  <w:proofErr w:type="spellStart"/>
                  <w:r w:rsidRPr="00783DC2">
                    <w:rPr>
                      <w:szCs w:val="24"/>
                    </w:rPr>
                    <w:t>pentru</w:t>
                  </w:r>
                  <w:proofErr w:type="spellEnd"/>
                  <w:r w:rsidRPr="00783DC2">
                    <w:rPr>
                      <w:szCs w:val="24"/>
                    </w:rPr>
                    <w:t xml:space="preserve"> </w:t>
                  </w:r>
                  <w:proofErr w:type="spellStart"/>
                  <w:r w:rsidRPr="00783DC2">
                    <w:rPr>
                      <w:szCs w:val="24"/>
                    </w:rPr>
                    <w:t>investiţia</w:t>
                  </w:r>
                  <w:proofErr w:type="spellEnd"/>
                  <w:r w:rsidRPr="00783DC2">
                    <w:rPr>
                      <w:szCs w:val="24"/>
                    </w:rPr>
                    <w:t xml:space="preserve"> de </w:t>
                  </w:r>
                  <w:proofErr w:type="spellStart"/>
                  <w:r w:rsidRPr="00783DC2">
                    <w:rPr>
                      <w:szCs w:val="24"/>
                    </w:rPr>
                    <w:t>bază</w:t>
                  </w:r>
                  <w:proofErr w:type="spellEnd"/>
                  <w:r w:rsidRPr="00783DC2">
                    <w:rPr>
                      <w:szCs w:val="24"/>
                    </w:rPr>
                    <w:t xml:space="preserve"> </w:t>
                  </w:r>
                  <w:proofErr w:type="spellStart"/>
                  <w:r w:rsidRPr="00783DC2">
                    <w:rPr>
                      <w:szCs w:val="24"/>
                    </w:rPr>
                    <w:t>justificate</w:t>
                  </w:r>
                  <w:proofErr w:type="spellEnd"/>
                  <w:r w:rsidRPr="00783DC2">
                    <w:rPr>
                      <w:szCs w:val="24"/>
                    </w:rPr>
                    <w:t xml:space="preserve"> </w:t>
                  </w:r>
                  <w:proofErr w:type="spellStart"/>
                  <w:r w:rsidRPr="00783DC2">
                    <w:rPr>
                      <w:szCs w:val="24"/>
                    </w:rPr>
                    <w:t>în</w:t>
                  </w:r>
                  <w:proofErr w:type="spellEnd"/>
                  <w:r w:rsidRPr="00783DC2">
                    <w:rPr>
                      <w:szCs w:val="24"/>
                    </w:rPr>
                    <w:t xml:space="preserve"> </w:t>
                  </w:r>
                  <w:proofErr w:type="spellStart"/>
                  <w:r w:rsidRPr="00783DC2">
                    <w:rPr>
                      <w:szCs w:val="24"/>
                    </w:rPr>
                    <w:t>strictă</w:t>
                  </w:r>
                  <w:proofErr w:type="spellEnd"/>
                  <w:r w:rsidRPr="00783DC2">
                    <w:rPr>
                      <w:szCs w:val="24"/>
                    </w:rPr>
                    <w:t xml:space="preserve"> </w:t>
                  </w:r>
                  <w:proofErr w:type="spellStart"/>
                  <w:r w:rsidRPr="00783DC2">
                    <w:rPr>
                      <w:szCs w:val="24"/>
                    </w:rPr>
                    <w:t>conexiune</w:t>
                  </w:r>
                  <w:proofErr w:type="spellEnd"/>
                  <w:r w:rsidRPr="00783DC2">
                    <w:rPr>
                      <w:szCs w:val="24"/>
                    </w:rPr>
                    <w:t xml:space="preserve"> cu </w:t>
                  </w:r>
                  <w:proofErr w:type="spellStart"/>
                  <w:r w:rsidRPr="00783DC2">
                    <w:rPr>
                      <w:szCs w:val="24"/>
                    </w:rPr>
                    <w:t>instalarea</w:t>
                  </w:r>
                  <w:proofErr w:type="spellEnd"/>
                  <w:r w:rsidRPr="00783DC2">
                    <w:rPr>
                      <w:szCs w:val="24"/>
                    </w:rPr>
                    <w:t xml:space="preserve"> </w:t>
                  </w:r>
                  <w:proofErr w:type="spellStart"/>
                  <w:r w:rsidRPr="00783DC2">
                    <w:rPr>
                      <w:szCs w:val="24"/>
                    </w:rPr>
                    <w:t>echipamentelor</w:t>
                  </w:r>
                  <w:proofErr w:type="spellEnd"/>
                  <w:r w:rsidRPr="00783DC2">
                    <w:rPr>
                      <w:szCs w:val="24"/>
                    </w:rPr>
                    <w:t xml:space="preserve"> </w:t>
                  </w:r>
                  <w:proofErr w:type="spellStart"/>
                  <w:r w:rsidRPr="00783DC2">
                    <w:rPr>
                      <w:szCs w:val="24"/>
                    </w:rPr>
                    <w:t>finanțate</w:t>
                  </w:r>
                  <w:proofErr w:type="spellEnd"/>
                  <w:r w:rsidRPr="00783DC2">
                    <w:rPr>
                      <w:szCs w:val="24"/>
                    </w:rPr>
                    <w:t xml:space="preserve"> din I5</w:t>
                  </w:r>
                </w:p>
              </w:tc>
              <w:tc>
                <w:tcPr>
                  <w:tcW w:w="1452" w:type="dxa"/>
                  <w:tcBorders>
                    <w:top w:val="single" w:sz="4" w:space="0" w:color="auto"/>
                    <w:left w:val="single" w:sz="4" w:space="0" w:color="auto"/>
                    <w:bottom w:val="single" w:sz="4" w:space="0" w:color="auto"/>
                    <w:right w:val="single" w:sz="4" w:space="0" w:color="auto"/>
                  </w:tcBorders>
                </w:tcPr>
                <w:p w14:paraId="6F15A60E" w14:textId="77777777" w:rsidR="00477E76" w:rsidRPr="00783DC2" w:rsidRDefault="00477E76" w:rsidP="007B1832">
                  <w:pPr>
                    <w:jc w:val="center"/>
                    <w:rPr>
                      <w:szCs w:val="24"/>
                    </w:rPr>
                  </w:pPr>
                </w:p>
              </w:tc>
              <w:tc>
                <w:tcPr>
                  <w:tcW w:w="2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05096" w14:textId="77777777" w:rsidR="00477E76" w:rsidRPr="00783DC2" w:rsidRDefault="00477E76" w:rsidP="007B1832">
                  <w:pPr>
                    <w:jc w:val="center"/>
                    <w:rPr>
                      <w:szCs w:val="24"/>
                    </w:rPr>
                  </w:pPr>
                </w:p>
              </w:tc>
              <w:tc>
                <w:tcPr>
                  <w:tcW w:w="1843" w:type="dxa"/>
                  <w:tcBorders>
                    <w:top w:val="single" w:sz="4" w:space="0" w:color="auto"/>
                    <w:left w:val="single" w:sz="4" w:space="0" w:color="auto"/>
                    <w:bottom w:val="single" w:sz="4" w:space="0" w:color="auto"/>
                    <w:right w:val="single" w:sz="4" w:space="0" w:color="auto"/>
                  </w:tcBorders>
                </w:tcPr>
                <w:p w14:paraId="5A092694" w14:textId="77777777" w:rsidR="00477E76" w:rsidRPr="00783DC2" w:rsidRDefault="00477E76" w:rsidP="007B1832">
                  <w:pPr>
                    <w:jc w:val="center"/>
                    <w:rPr>
                      <w:szCs w:val="24"/>
                    </w:rPr>
                  </w:pPr>
                </w:p>
              </w:tc>
            </w:tr>
            <w:tr w:rsidR="00477E76" w:rsidRPr="00783DC2" w14:paraId="5B6BE476" w14:textId="2C19E1AB" w:rsidTr="00563739">
              <w:trPr>
                <w:cantSplit/>
                <w:trHeight w:val="97"/>
                <w:jc w:val="center"/>
              </w:trPr>
              <w:tc>
                <w:tcPr>
                  <w:tcW w:w="691" w:type="dxa"/>
                  <w:tcBorders>
                    <w:top w:val="single" w:sz="4" w:space="0" w:color="auto"/>
                    <w:left w:val="single" w:sz="4" w:space="0" w:color="auto"/>
                    <w:bottom w:val="single" w:sz="4" w:space="0" w:color="auto"/>
                    <w:right w:val="single" w:sz="4" w:space="0" w:color="auto"/>
                  </w:tcBorders>
                  <w:vAlign w:val="center"/>
                </w:tcPr>
                <w:p w14:paraId="6C55F31A" w14:textId="77777777" w:rsidR="00477E76" w:rsidRPr="00783DC2" w:rsidRDefault="00477E76" w:rsidP="007B1832">
                  <w:pPr>
                    <w:ind w:left="-81" w:right="-78"/>
                    <w:jc w:val="center"/>
                    <w:rPr>
                      <w:bCs/>
                      <w:szCs w:val="24"/>
                    </w:rPr>
                  </w:pPr>
                  <w:r>
                    <w:rPr>
                      <w:bCs/>
                      <w:szCs w:val="24"/>
                    </w:rPr>
                    <w:t>1.1</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385C229C" w14:textId="77777777" w:rsidR="00477E76" w:rsidRPr="00783DC2" w:rsidRDefault="00477E76" w:rsidP="007B1832">
                  <w:pPr>
                    <w:rPr>
                      <w:szCs w:val="24"/>
                    </w:rPr>
                  </w:pPr>
                  <w:proofErr w:type="spellStart"/>
                  <w:r w:rsidRPr="005917B5">
                    <w:rPr>
                      <w:szCs w:val="24"/>
                    </w:rPr>
                    <w:t>Costurile</w:t>
                  </w:r>
                  <w:proofErr w:type="spellEnd"/>
                  <w:r w:rsidRPr="005917B5">
                    <w:rPr>
                      <w:szCs w:val="24"/>
                    </w:rPr>
                    <w:t xml:space="preserve"> cu </w:t>
                  </w:r>
                  <w:proofErr w:type="spellStart"/>
                  <w:r w:rsidRPr="005917B5">
                    <w:rPr>
                      <w:szCs w:val="24"/>
                    </w:rPr>
                    <w:t>asistenţă</w:t>
                  </w:r>
                  <w:proofErr w:type="spellEnd"/>
                  <w:r w:rsidRPr="005917B5">
                    <w:rPr>
                      <w:szCs w:val="24"/>
                    </w:rPr>
                    <w:t xml:space="preserve"> </w:t>
                  </w:r>
                  <w:proofErr w:type="spellStart"/>
                  <w:r w:rsidRPr="005917B5">
                    <w:rPr>
                      <w:szCs w:val="24"/>
                    </w:rPr>
                    <w:t>tehnică</w:t>
                  </w:r>
                  <w:proofErr w:type="spellEnd"/>
                  <w:r w:rsidRPr="005917B5">
                    <w:rPr>
                      <w:szCs w:val="24"/>
                    </w:rPr>
                    <w:t xml:space="preserve"> din </w:t>
                  </w:r>
                  <w:proofErr w:type="spellStart"/>
                  <w:r w:rsidRPr="005917B5">
                    <w:rPr>
                      <w:szCs w:val="24"/>
                    </w:rPr>
                    <w:t>partea</w:t>
                  </w:r>
                  <w:proofErr w:type="spellEnd"/>
                  <w:r w:rsidRPr="005917B5">
                    <w:rPr>
                      <w:szCs w:val="24"/>
                    </w:rPr>
                    <w:t xml:space="preserve"> </w:t>
                  </w:r>
                  <w:proofErr w:type="spellStart"/>
                  <w:r w:rsidRPr="005917B5">
                    <w:rPr>
                      <w:szCs w:val="24"/>
                    </w:rPr>
                    <w:t>proiectantului</w:t>
                  </w:r>
                  <w:proofErr w:type="spellEnd"/>
                  <w:r w:rsidRPr="005917B5">
                    <w:rPr>
                      <w:szCs w:val="24"/>
                    </w:rPr>
                    <w:t xml:space="preserve"> pe </w:t>
                  </w:r>
                  <w:proofErr w:type="spellStart"/>
                  <w:r w:rsidRPr="005917B5">
                    <w:rPr>
                      <w:szCs w:val="24"/>
                    </w:rPr>
                    <w:t>perioada</w:t>
                  </w:r>
                  <w:proofErr w:type="spellEnd"/>
                  <w:r w:rsidRPr="005917B5">
                    <w:rPr>
                      <w:szCs w:val="24"/>
                    </w:rPr>
                    <w:t xml:space="preserve"> de </w:t>
                  </w:r>
                  <w:proofErr w:type="spellStart"/>
                  <w:r w:rsidRPr="005917B5">
                    <w:rPr>
                      <w:szCs w:val="24"/>
                    </w:rPr>
                    <w:t>execuţie</w:t>
                  </w:r>
                  <w:proofErr w:type="spellEnd"/>
                  <w:r w:rsidRPr="005917B5">
                    <w:rPr>
                      <w:szCs w:val="24"/>
                    </w:rPr>
                    <w:t xml:space="preserve"> a </w:t>
                  </w:r>
                  <w:proofErr w:type="spellStart"/>
                  <w:r w:rsidRPr="005917B5">
                    <w:rPr>
                      <w:szCs w:val="24"/>
                    </w:rPr>
                    <w:t>lucrărilor</w:t>
                  </w:r>
                  <w:proofErr w:type="spellEnd"/>
                </w:p>
              </w:tc>
              <w:tc>
                <w:tcPr>
                  <w:tcW w:w="1452" w:type="dxa"/>
                  <w:tcBorders>
                    <w:top w:val="single" w:sz="4" w:space="0" w:color="auto"/>
                    <w:left w:val="single" w:sz="4" w:space="0" w:color="auto"/>
                    <w:bottom w:val="single" w:sz="4" w:space="0" w:color="auto"/>
                    <w:right w:val="single" w:sz="4" w:space="0" w:color="auto"/>
                  </w:tcBorders>
                </w:tcPr>
                <w:p w14:paraId="3C023990" w14:textId="77777777" w:rsidR="00477E76" w:rsidRPr="00783DC2" w:rsidRDefault="00477E76" w:rsidP="007B1832">
                  <w:pPr>
                    <w:jc w:val="center"/>
                    <w:rPr>
                      <w:szCs w:val="24"/>
                    </w:rPr>
                  </w:pPr>
                </w:p>
              </w:tc>
              <w:tc>
                <w:tcPr>
                  <w:tcW w:w="2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67210E" w14:textId="77777777" w:rsidR="00477E76" w:rsidRPr="00783DC2" w:rsidRDefault="00477E76" w:rsidP="007B1832">
                  <w:pPr>
                    <w:jc w:val="center"/>
                    <w:rPr>
                      <w:szCs w:val="24"/>
                    </w:rPr>
                  </w:pPr>
                </w:p>
              </w:tc>
              <w:tc>
                <w:tcPr>
                  <w:tcW w:w="1843" w:type="dxa"/>
                  <w:tcBorders>
                    <w:top w:val="single" w:sz="4" w:space="0" w:color="auto"/>
                    <w:left w:val="single" w:sz="4" w:space="0" w:color="auto"/>
                    <w:bottom w:val="single" w:sz="4" w:space="0" w:color="auto"/>
                    <w:right w:val="single" w:sz="4" w:space="0" w:color="auto"/>
                  </w:tcBorders>
                </w:tcPr>
                <w:p w14:paraId="77F33828" w14:textId="77777777" w:rsidR="00477E76" w:rsidRPr="00783DC2" w:rsidRDefault="00477E76" w:rsidP="007B1832">
                  <w:pPr>
                    <w:jc w:val="center"/>
                    <w:rPr>
                      <w:szCs w:val="24"/>
                    </w:rPr>
                  </w:pPr>
                </w:p>
              </w:tc>
            </w:tr>
            <w:tr w:rsidR="00477E76" w:rsidRPr="00783DC2" w14:paraId="37F6A59D" w14:textId="48BE4AF8" w:rsidTr="00563739">
              <w:trPr>
                <w:cantSplit/>
                <w:trHeight w:val="557"/>
                <w:jc w:val="center"/>
              </w:trPr>
              <w:tc>
                <w:tcPr>
                  <w:tcW w:w="691" w:type="dxa"/>
                  <w:tcBorders>
                    <w:top w:val="single" w:sz="4" w:space="0" w:color="auto"/>
                    <w:left w:val="single" w:sz="4" w:space="0" w:color="auto"/>
                    <w:bottom w:val="single" w:sz="4" w:space="0" w:color="auto"/>
                    <w:right w:val="single" w:sz="4" w:space="0" w:color="auto"/>
                  </w:tcBorders>
                  <w:vAlign w:val="center"/>
                </w:tcPr>
                <w:p w14:paraId="55285C8E" w14:textId="77777777" w:rsidR="00477E76" w:rsidRPr="00783DC2" w:rsidRDefault="00477E76" w:rsidP="007B1832">
                  <w:pPr>
                    <w:ind w:left="-81" w:right="-78"/>
                    <w:jc w:val="center"/>
                    <w:rPr>
                      <w:bCs/>
                      <w:szCs w:val="24"/>
                    </w:rPr>
                  </w:pPr>
                  <w:r>
                    <w:rPr>
                      <w:bCs/>
                      <w:szCs w:val="24"/>
                    </w:rPr>
                    <w:t>1</w:t>
                  </w:r>
                  <w:r w:rsidRPr="00783DC2">
                    <w:rPr>
                      <w:bCs/>
                      <w:szCs w:val="24"/>
                    </w:rPr>
                    <w:t>.</w:t>
                  </w:r>
                  <w:r>
                    <w:rPr>
                      <w:bCs/>
                      <w:szCs w:val="24"/>
                    </w:rPr>
                    <w:t>2</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08739DB0" w14:textId="77777777" w:rsidR="00477E76" w:rsidRPr="00783DC2" w:rsidRDefault="00477E76" w:rsidP="007B1832">
                  <w:pPr>
                    <w:rPr>
                      <w:szCs w:val="24"/>
                    </w:rPr>
                  </w:pPr>
                  <w:proofErr w:type="spellStart"/>
                  <w:r w:rsidRPr="00783DC2">
                    <w:rPr>
                      <w:szCs w:val="24"/>
                    </w:rPr>
                    <w:t>Construcţii</w:t>
                  </w:r>
                  <w:proofErr w:type="spellEnd"/>
                  <w:r w:rsidRPr="00783DC2">
                    <w:rPr>
                      <w:szCs w:val="24"/>
                    </w:rPr>
                    <w:t xml:space="preserve"> </w:t>
                  </w:r>
                  <w:proofErr w:type="spellStart"/>
                  <w:r w:rsidRPr="00783DC2">
                    <w:rPr>
                      <w:szCs w:val="24"/>
                    </w:rPr>
                    <w:t>şi</w:t>
                  </w:r>
                  <w:proofErr w:type="spellEnd"/>
                  <w:r w:rsidRPr="00783DC2">
                    <w:rPr>
                      <w:szCs w:val="24"/>
                    </w:rPr>
                    <w:t xml:space="preserve"> </w:t>
                  </w:r>
                  <w:proofErr w:type="spellStart"/>
                  <w:r w:rsidRPr="00783DC2">
                    <w:rPr>
                      <w:szCs w:val="24"/>
                    </w:rPr>
                    <w:t>instalaţii</w:t>
                  </w:r>
                  <w:proofErr w:type="spellEnd"/>
                </w:p>
              </w:tc>
              <w:tc>
                <w:tcPr>
                  <w:tcW w:w="1452" w:type="dxa"/>
                  <w:tcBorders>
                    <w:top w:val="single" w:sz="4" w:space="0" w:color="auto"/>
                    <w:left w:val="single" w:sz="4" w:space="0" w:color="auto"/>
                    <w:bottom w:val="single" w:sz="4" w:space="0" w:color="auto"/>
                    <w:right w:val="single" w:sz="4" w:space="0" w:color="auto"/>
                  </w:tcBorders>
                </w:tcPr>
                <w:p w14:paraId="3F7322BB" w14:textId="77777777" w:rsidR="00477E76" w:rsidRPr="00783DC2" w:rsidRDefault="00477E76" w:rsidP="007B1832">
                  <w:pPr>
                    <w:jc w:val="center"/>
                    <w:rPr>
                      <w:szCs w:val="24"/>
                    </w:rPr>
                  </w:pPr>
                </w:p>
              </w:tc>
              <w:tc>
                <w:tcPr>
                  <w:tcW w:w="2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082EC2" w14:textId="77777777" w:rsidR="00477E76" w:rsidRPr="00783DC2" w:rsidRDefault="00477E76" w:rsidP="007B1832">
                  <w:pPr>
                    <w:jc w:val="center"/>
                    <w:rPr>
                      <w:szCs w:val="24"/>
                    </w:rPr>
                  </w:pPr>
                </w:p>
              </w:tc>
              <w:tc>
                <w:tcPr>
                  <w:tcW w:w="1843" w:type="dxa"/>
                  <w:tcBorders>
                    <w:top w:val="single" w:sz="4" w:space="0" w:color="auto"/>
                    <w:left w:val="single" w:sz="4" w:space="0" w:color="auto"/>
                    <w:bottom w:val="single" w:sz="4" w:space="0" w:color="auto"/>
                    <w:right w:val="single" w:sz="4" w:space="0" w:color="auto"/>
                  </w:tcBorders>
                </w:tcPr>
                <w:p w14:paraId="474EF046" w14:textId="77777777" w:rsidR="00477E76" w:rsidRPr="00783DC2" w:rsidRDefault="00477E76" w:rsidP="007B1832">
                  <w:pPr>
                    <w:jc w:val="center"/>
                    <w:rPr>
                      <w:szCs w:val="24"/>
                    </w:rPr>
                  </w:pPr>
                </w:p>
              </w:tc>
            </w:tr>
            <w:tr w:rsidR="00477E76" w:rsidRPr="00783DC2" w14:paraId="157435AB" w14:textId="3A6481A6" w:rsidTr="00563739">
              <w:trPr>
                <w:cantSplit/>
                <w:trHeight w:val="992"/>
                <w:jc w:val="center"/>
              </w:trPr>
              <w:tc>
                <w:tcPr>
                  <w:tcW w:w="691" w:type="dxa"/>
                  <w:tcBorders>
                    <w:top w:val="single" w:sz="4" w:space="0" w:color="auto"/>
                    <w:left w:val="single" w:sz="4" w:space="0" w:color="auto"/>
                    <w:bottom w:val="single" w:sz="4" w:space="0" w:color="auto"/>
                    <w:right w:val="single" w:sz="4" w:space="0" w:color="auto"/>
                  </w:tcBorders>
                  <w:vAlign w:val="center"/>
                </w:tcPr>
                <w:p w14:paraId="0C3C4969" w14:textId="77777777" w:rsidR="00477E76" w:rsidRPr="00783DC2" w:rsidRDefault="00477E76" w:rsidP="007B1832">
                  <w:pPr>
                    <w:ind w:left="-81" w:right="-78"/>
                    <w:jc w:val="center"/>
                    <w:rPr>
                      <w:bCs/>
                      <w:szCs w:val="24"/>
                    </w:rPr>
                  </w:pPr>
                  <w:r>
                    <w:rPr>
                      <w:bCs/>
                      <w:szCs w:val="24"/>
                    </w:rPr>
                    <w:t>1</w:t>
                  </w:r>
                  <w:r w:rsidRPr="00783DC2">
                    <w:rPr>
                      <w:bCs/>
                      <w:szCs w:val="24"/>
                    </w:rPr>
                    <w:t>.</w:t>
                  </w:r>
                  <w:r>
                    <w:rPr>
                      <w:bCs/>
                      <w:szCs w:val="24"/>
                    </w:rPr>
                    <w:t>3</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7FD8FEA8" w14:textId="77777777" w:rsidR="00477E76" w:rsidRPr="00783DC2" w:rsidRDefault="00477E76" w:rsidP="007B1832">
                  <w:pPr>
                    <w:rPr>
                      <w:szCs w:val="24"/>
                    </w:rPr>
                  </w:pPr>
                  <w:proofErr w:type="spellStart"/>
                  <w:r w:rsidRPr="00783DC2">
                    <w:rPr>
                      <w:szCs w:val="24"/>
                    </w:rPr>
                    <w:t>Achizitie</w:t>
                  </w:r>
                  <w:proofErr w:type="spellEnd"/>
                  <w:r w:rsidRPr="00783DC2">
                    <w:rPr>
                      <w:szCs w:val="24"/>
                    </w:rPr>
                    <w:t xml:space="preserve"> </w:t>
                  </w:r>
                  <w:proofErr w:type="spellStart"/>
                  <w:r w:rsidRPr="00783DC2">
                    <w:rPr>
                      <w:szCs w:val="24"/>
                    </w:rPr>
                    <w:t>Utilaje</w:t>
                  </w:r>
                  <w:proofErr w:type="spellEnd"/>
                  <w:r w:rsidRPr="00783DC2">
                    <w:rPr>
                      <w:szCs w:val="24"/>
                    </w:rPr>
                    <w:t xml:space="preserve">, </w:t>
                  </w:r>
                  <w:proofErr w:type="spellStart"/>
                  <w:r w:rsidRPr="00783DC2">
                    <w:rPr>
                      <w:szCs w:val="24"/>
                    </w:rPr>
                    <w:t>echipamente</w:t>
                  </w:r>
                  <w:proofErr w:type="spellEnd"/>
                  <w:r w:rsidRPr="00783DC2">
                    <w:rPr>
                      <w:szCs w:val="24"/>
                    </w:rPr>
                    <w:t xml:space="preserve"> </w:t>
                  </w:r>
                  <w:proofErr w:type="spellStart"/>
                  <w:r w:rsidRPr="00783DC2">
                    <w:rPr>
                      <w:szCs w:val="24"/>
                    </w:rPr>
                    <w:t>tehnologice</w:t>
                  </w:r>
                  <w:proofErr w:type="spellEnd"/>
                  <w:r w:rsidRPr="00783DC2">
                    <w:rPr>
                      <w:szCs w:val="24"/>
                    </w:rPr>
                    <w:t xml:space="preserve"> </w:t>
                  </w:r>
                  <w:proofErr w:type="spellStart"/>
                  <w:r w:rsidRPr="00783DC2">
                    <w:rPr>
                      <w:szCs w:val="24"/>
                    </w:rPr>
                    <w:t>şi</w:t>
                  </w:r>
                  <w:proofErr w:type="spellEnd"/>
                  <w:r w:rsidRPr="00783DC2">
                    <w:rPr>
                      <w:szCs w:val="24"/>
                    </w:rPr>
                    <w:t xml:space="preserve"> </w:t>
                  </w:r>
                  <w:proofErr w:type="spellStart"/>
                  <w:r w:rsidRPr="00783DC2">
                    <w:rPr>
                      <w:szCs w:val="24"/>
                    </w:rPr>
                    <w:t>funcţionale</w:t>
                  </w:r>
                  <w:proofErr w:type="spellEnd"/>
                </w:p>
              </w:tc>
              <w:tc>
                <w:tcPr>
                  <w:tcW w:w="1452" w:type="dxa"/>
                  <w:tcBorders>
                    <w:top w:val="single" w:sz="4" w:space="0" w:color="auto"/>
                    <w:left w:val="single" w:sz="4" w:space="0" w:color="auto"/>
                    <w:bottom w:val="single" w:sz="4" w:space="0" w:color="auto"/>
                    <w:right w:val="single" w:sz="4" w:space="0" w:color="auto"/>
                  </w:tcBorders>
                </w:tcPr>
                <w:p w14:paraId="218535E1" w14:textId="77777777" w:rsidR="00477E76" w:rsidRPr="00783DC2" w:rsidRDefault="00477E76" w:rsidP="007B1832">
                  <w:pPr>
                    <w:jc w:val="center"/>
                    <w:rPr>
                      <w:szCs w:val="24"/>
                    </w:rPr>
                  </w:pPr>
                </w:p>
              </w:tc>
              <w:tc>
                <w:tcPr>
                  <w:tcW w:w="2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70B8F5" w14:textId="77777777" w:rsidR="00477E76" w:rsidRPr="00783DC2" w:rsidRDefault="00477E76" w:rsidP="007B1832">
                  <w:pPr>
                    <w:jc w:val="center"/>
                    <w:rPr>
                      <w:szCs w:val="24"/>
                    </w:rPr>
                  </w:pPr>
                </w:p>
              </w:tc>
              <w:tc>
                <w:tcPr>
                  <w:tcW w:w="1843" w:type="dxa"/>
                  <w:tcBorders>
                    <w:top w:val="single" w:sz="4" w:space="0" w:color="auto"/>
                    <w:left w:val="single" w:sz="4" w:space="0" w:color="auto"/>
                    <w:bottom w:val="single" w:sz="4" w:space="0" w:color="auto"/>
                    <w:right w:val="single" w:sz="4" w:space="0" w:color="auto"/>
                  </w:tcBorders>
                </w:tcPr>
                <w:p w14:paraId="3CCE9D70" w14:textId="77777777" w:rsidR="00477E76" w:rsidRPr="00783DC2" w:rsidRDefault="00477E76" w:rsidP="007B1832">
                  <w:pPr>
                    <w:jc w:val="center"/>
                    <w:rPr>
                      <w:szCs w:val="24"/>
                    </w:rPr>
                  </w:pPr>
                </w:p>
              </w:tc>
            </w:tr>
            <w:tr w:rsidR="00477E76" w:rsidRPr="00783DC2" w14:paraId="4A0514A5" w14:textId="5D7AAD40" w:rsidTr="00563739">
              <w:trPr>
                <w:cantSplit/>
                <w:trHeight w:val="984"/>
                <w:jc w:val="center"/>
              </w:trPr>
              <w:tc>
                <w:tcPr>
                  <w:tcW w:w="691" w:type="dxa"/>
                  <w:tcBorders>
                    <w:top w:val="single" w:sz="4" w:space="0" w:color="auto"/>
                    <w:left w:val="single" w:sz="4" w:space="0" w:color="auto"/>
                    <w:bottom w:val="single" w:sz="4" w:space="0" w:color="auto"/>
                    <w:right w:val="single" w:sz="4" w:space="0" w:color="auto"/>
                  </w:tcBorders>
                  <w:vAlign w:val="center"/>
                </w:tcPr>
                <w:p w14:paraId="263BB079" w14:textId="77777777" w:rsidR="00477E76" w:rsidRPr="00783DC2" w:rsidRDefault="00477E76" w:rsidP="007B1832">
                  <w:pPr>
                    <w:ind w:left="-81" w:right="-78"/>
                    <w:jc w:val="center"/>
                    <w:rPr>
                      <w:bCs/>
                      <w:szCs w:val="24"/>
                    </w:rPr>
                  </w:pPr>
                  <w:r>
                    <w:rPr>
                      <w:bCs/>
                      <w:szCs w:val="24"/>
                    </w:rPr>
                    <w:t>1</w:t>
                  </w:r>
                  <w:r w:rsidRPr="00783DC2">
                    <w:rPr>
                      <w:bCs/>
                      <w:szCs w:val="24"/>
                    </w:rPr>
                    <w:t>.</w:t>
                  </w:r>
                  <w:r>
                    <w:rPr>
                      <w:bCs/>
                      <w:szCs w:val="24"/>
                    </w:rPr>
                    <w:t>4</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5AEDD325" w14:textId="77777777" w:rsidR="00477E76" w:rsidRPr="00783DC2" w:rsidRDefault="00477E76" w:rsidP="007B1832">
                  <w:pPr>
                    <w:rPr>
                      <w:szCs w:val="24"/>
                    </w:rPr>
                  </w:pPr>
                  <w:proofErr w:type="spellStart"/>
                  <w:r w:rsidRPr="00783DC2">
                    <w:rPr>
                      <w:szCs w:val="24"/>
                    </w:rPr>
                    <w:t>Montaj</w:t>
                  </w:r>
                  <w:proofErr w:type="spellEnd"/>
                  <w:r w:rsidRPr="00783DC2">
                    <w:rPr>
                      <w:szCs w:val="24"/>
                    </w:rPr>
                    <w:t xml:space="preserve"> </w:t>
                  </w:r>
                  <w:proofErr w:type="spellStart"/>
                  <w:r w:rsidRPr="00783DC2">
                    <w:rPr>
                      <w:szCs w:val="24"/>
                    </w:rPr>
                    <w:t>utilaje</w:t>
                  </w:r>
                  <w:proofErr w:type="spellEnd"/>
                  <w:r w:rsidRPr="00783DC2">
                    <w:rPr>
                      <w:szCs w:val="24"/>
                    </w:rPr>
                    <w:t xml:space="preserve">, </w:t>
                  </w:r>
                  <w:proofErr w:type="spellStart"/>
                  <w:r w:rsidRPr="00783DC2">
                    <w:rPr>
                      <w:szCs w:val="24"/>
                    </w:rPr>
                    <w:t>echipamente</w:t>
                  </w:r>
                  <w:proofErr w:type="spellEnd"/>
                  <w:r w:rsidRPr="00783DC2">
                    <w:rPr>
                      <w:szCs w:val="24"/>
                    </w:rPr>
                    <w:t xml:space="preserve"> </w:t>
                  </w:r>
                  <w:proofErr w:type="spellStart"/>
                  <w:r w:rsidRPr="00783DC2">
                    <w:rPr>
                      <w:szCs w:val="24"/>
                    </w:rPr>
                    <w:t>tehnologice</w:t>
                  </w:r>
                  <w:proofErr w:type="spellEnd"/>
                  <w:r w:rsidRPr="00783DC2">
                    <w:rPr>
                      <w:szCs w:val="24"/>
                    </w:rPr>
                    <w:t xml:space="preserve"> </w:t>
                  </w:r>
                  <w:proofErr w:type="spellStart"/>
                  <w:r w:rsidRPr="00783DC2">
                    <w:rPr>
                      <w:szCs w:val="24"/>
                    </w:rPr>
                    <w:t>şi</w:t>
                  </w:r>
                  <w:proofErr w:type="spellEnd"/>
                  <w:r w:rsidRPr="00783DC2">
                    <w:rPr>
                      <w:szCs w:val="24"/>
                    </w:rPr>
                    <w:t xml:space="preserve"> </w:t>
                  </w:r>
                  <w:proofErr w:type="spellStart"/>
                  <w:r w:rsidRPr="00783DC2">
                    <w:rPr>
                      <w:szCs w:val="24"/>
                    </w:rPr>
                    <w:t>funcţionale</w:t>
                  </w:r>
                  <w:proofErr w:type="spellEnd"/>
                </w:p>
              </w:tc>
              <w:tc>
                <w:tcPr>
                  <w:tcW w:w="1452" w:type="dxa"/>
                  <w:tcBorders>
                    <w:top w:val="single" w:sz="4" w:space="0" w:color="auto"/>
                    <w:left w:val="single" w:sz="4" w:space="0" w:color="auto"/>
                    <w:bottom w:val="single" w:sz="4" w:space="0" w:color="auto"/>
                    <w:right w:val="single" w:sz="4" w:space="0" w:color="auto"/>
                  </w:tcBorders>
                </w:tcPr>
                <w:p w14:paraId="291B23E0" w14:textId="77777777" w:rsidR="00477E76" w:rsidRPr="00783DC2" w:rsidRDefault="00477E76" w:rsidP="007B1832">
                  <w:pPr>
                    <w:jc w:val="center"/>
                    <w:rPr>
                      <w:szCs w:val="24"/>
                    </w:rPr>
                  </w:pPr>
                </w:p>
              </w:tc>
              <w:tc>
                <w:tcPr>
                  <w:tcW w:w="2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3C1BD9" w14:textId="77777777" w:rsidR="00477E76" w:rsidRPr="00783DC2" w:rsidRDefault="00477E76" w:rsidP="007B1832">
                  <w:pPr>
                    <w:jc w:val="center"/>
                    <w:rPr>
                      <w:szCs w:val="24"/>
                    </w:rPr>
                  </w:pPr>
                </w:p>
              </w:tc>
              <w:tc>
                <w:tcPr>
                  <w:tcW w:w="1843" w:type="dxa"/>
                  <w:tcBorders>
                    <w:top w:val="single" w:sz="4" w:space="0" w:color="auto"/>
                    <w:left w:val="single" w:sz="4" w:space="0" w:color="auto"/>
                    <w:bottom w:val="single" w:sz="4" w:space="0" w:color="auto"/>
                    <w:right w:val="single" w:sz="4" w:space="0" w:color="auto"/>
                  </w:tcBorders>
                </w:tcPr>
                <w:p w14:paraId="465548BE" w14:textId="77777777" w:rsidR="00477E76" w:rsidRPr="00783DC2" w:rsidRDefault="00477E76" w:rsidP="007B1832">
                  <w:pPr>
                    <w:jc w:val="center"/>
                    <w:rPr>
                      <w:szCs w:val="24"/>
                    </w:rPr>
                  </w:pPr>
                </w:p>
              </w:tc>
            </w:tr>
            <w:tr w:rsidR="00477E76" w:rsidRPr="00783DC2" w14:paraId="79016445" w14:textId="50D4685B" w:rsidTr="00563739">
              <w:trPr>
                <w:cantSplit/>
                <w:trHeight w:val="347"/>
                <w:jc w:val="center"/>
              </w:trPr>
              <w:tc>
                <w:tcPr>
                  <w:tcW w:w="691" w:type="dxa"/>
                  <w:tcBorders>
                    <w:top w:val="single" w:sz="4" w:space="0" w:color="auto"/>
                    <w:left w:val="single" w:sz="4" w:space="0" w:color="auto"/>
                    <w:bottom w:val="single" w:sz="4" w:space="0" w:color="auto"/>
                    <w:right w:val="single" w:sz="4" w:space="0" w:color="auto"/>
                  </w:tcBorders>
                  <w:vAlign w:val="center"/>
                </w:tcPr>
                <w:p w14:paraId="3FF5DC5A" w14:textId="77777777" w:rsidR="00477E76" w:rsidRPr="00783DC2" w:rsidRDefault="00477E76" w:rsidP="007B1832">
                  <w:pPr>
                    <w:ind w:left="-81" w:right="-78"/>
                    <w:jc w:val="center"/>
                    <w:rPr>
                      <w:bCs/>
                      <w:szCs w:val="24"/>
                    </w:rPr>
                  </w:pPr>
                  <w:r>
                    <w:rPr>
                      <w:bCs/>
                      <w:szCs w:val="24"/>
                    </w:rPr>
                    <w:t>2.</w:t>
                  </w:r>
                </w:p>
              </w:tc>
              <w:tc>
                <w:tcPr>
                  <w:tcW w:w="2140" w:type="dxa"/>
                  <w:gridSpan w:val="2"/>
                  <w:tcBorders>
                    <w:top w:val="single" w:sz="4" w:space="0" w:color="auto"/>
                    <w:left w:val="single" w:sz="4" w:space="0" w:color="auto"/>
                    <w:bottom w:val="single" w:sz="4" w:space="0" w:color="auto"/>
                    <w:right w:val="single" w:sz="4" w:space="0" w:color="auto"/>
                  </w:tcBorders>
                  <w:vAlign w:val="center"/>
                </w:tcPr>
                <w:p w14:paraId="56133D70" w14:textId="77777777" w:rsidR="00477E76" w:rsidRPr="00783DC2" w:rsidRDefault="00477E76" w:rsidP="007B1832">
                  <w:pPr>
                    <w:rPr>
                      <w:szCs w:val="24"/>
                    </w:rPr>
                  </w:pPr>
                  <w:proofErr w:type="spellStart"/>
                  <w:r w:rsidRPr="00783DC2">
                    <w:rPr>
                      <w:szCs w:val="24"/>
                    </w:rPr>
                    <w:t>Achizitie</w:t>
                  </w:r>
                  <w:proofErr w:type="spellEnd"/>
                  <w:r w:rsidRPr="00783DC2">
                    <w:rPr>
                      <w:szCs w:val="24"/>
                    </w:rPr>
                    <w:t xml:space="preserve"> EMS</w:t>
                  </w:r>
                </w:p>
              </w:tc>
              <w:tc>
                <w:tcPr>
                  <w:tcW w:w="1452" w:type="dxa"/>
                  <w:tcBorders>
                    <w:top w:val="single" w:sz="4" w:space="0" w:color="auto"/>
                    <w:left w:val="single" w:sz="4" w:space="0" w:color="auto"/>
                    <w:bottom w:val="single" w:sz="4" w:space="0" w:color="auto"/>
                    <w:right w:val="single" w:sz="4" w:space="0" w:color="auto"/>
                  </w:tcBorders>
                </w:tcPr>
                <w:p w14:paraId="732E427C" w14:textId="77777777" w:rsidR="00477E76" w:rsidRPr="00783DC2" w:rsidRDefault="00477E76" w:rsidP="007B1832">
                  <w:pPr>
                    <w:jc w:val="center"/>
                    <w:rPr>
                      <w:szCs w:val="24"/>
                    </w:rPr>
                  </w:pPr>
                </w:p>
              </w:tc>
              <w:tc>
                <w:tcPr>
                  <w:tcW w:w="2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B98A74" w14:textId="77777777" w:rsidR="00477E76" w:rsidRPr="00783DC2" w:rsidRDefault="00477E76" w:rsidP="007B1832">
                  <w:pPr>
                    <w:jc w:val="center"/>
                    <w:rPr>
                      <w:szCs w:val="24"/>
                    </w:rPr>
                  </w:pPr>
                </w:p>
              </w:tc>
              <w:tc>
                <w:tcPr>
                  <w:tcW w:w="1843" w:type="dxa"/>
                  <w:tcBorders>
                    <w:top w:val="single" w:sz="4" w:space="0" w:color="auto"/>
                    <w:left w:val="single" w:sz="4" w:space="0" w:color="auto"/>
                    <w:bottom w:val="single" w:sz="4" w:space="0" w:color="auto"/>
                    <w:right w:val="single" w:sz="4" w:space="0" w:color="auto"/>
                  </w:tcBorders>
                </w:tcPr>
                <w:p w14:paraId="7FB441E6" w14:textId="77777777" w:rsidR="00477E76" w:rsidRPr="00783DC2" w:rsidRDefault="00477E76" w:rsidP="007B1832">
                  <w:pPr>
                    <w:jc w:val="center"/>
                    <w:rPr>
                      <w:szCs w:val="24"/>
                    </w:rPr>
                  </w:pPr>
                </w:p>
              </w:tc>
            </w:tr>
            <w:tr w:rsidR="00477E76" w:rsidRPr="00783DC2" w14:paraId="3EF10E4C" w14:textId="41510266" w:rsidTr="00563739">
              <w:trPr>
                <w:cantSplit/>
                <w:trHeight w:val="347"/>
                <w:jc w:val="center"/>
              </w:trPr>
              <w:tc>
                <w:tcPr>
                  <w:tcW w:w="691" w:type="dxa"/>
                  <w:vMerge w:val="restart"/>
                  <w:tcBorders>
                    <w:top w:val="single" w:sz="4" w:space="0" w:color="auto"/>
                    <w:left w:val="single" w:sz="4" w:space="0" w:color="auto"/>
                    <w:right w:val="single" w:sz="4" w:space="0" w:color="auto"/>
                  </w:tcBorders>
                </w:tcPr>
                <w:p w14:paraId="4570ACFE" w14:textId="77777777" w:rsidR="00477E76" w:rsidRPr="00783DC2" w:rsidRDefault="00477E76" w:rsidP="007B1832">
                  <w:pPr>
                    <w:ind w:left="-81" w:right="-78"/>
                    <w:jc w:val="center"/>
                    <w:rPr>
                      <w:b/>
                      <w:szCs w:val="24"/>
                    </w:rPr>
                  </w:pPr>
                </w:p>
              </w:tc>
              <w:tc>
                <w:tcPr>
                  <w:tcW w:w="1403" w:type="dxa"/>
                  <w:vMerge w:val="restart"/>
                  <w:tcBorders>
                    <w:top w:val="single" w:sz="4" w:space="0" w:color="auto"/>
                    <w:left w:val="single" w:sz="4" w:space="0" w:color="auto"/>
                    <w:right w:val="single" w:sz="4" w:space="0" w:color="auto"/>
                  </w:tcBorders>
                </w:tcPr>
                <w:p w14:paraId="0EA964C4" w14:textId="77777777" w:rsidR="00477E76" w:rsidRPr="00783DC2" w:rsidRDefault="00477E76" w:rsidP="007B1832">
                  <w:pPr>
                    <w:rPr>
                      <w:b/>
                      <w:szCs w:val="24"/>
                    </w:rPr>
                  </w:pPr>
                  <w:r w:rsidRPr="00783DC2">
                    <w:rPr>
                      <w:b/>
                      <w:szCs w:val="24"/>
                    </w:rPr>
                    <w:t>TOTAL GENERAL</w:t>
                  </w:r>
                </w:p>
              </w:tc>
              <w:tc>
                <w:tcPr>
                  <w:tcW w:w="737" w:type="dxa"/>
                  <w:tcBorders>
                    <w:top w:val="single" w:sz="4" w:space="0" w:color="auto"/>
                    <w:left w:val="single" w:sz="4" w:space="0" w:color="auto"/>
                    <w:bottom w:val="single" w:sz="4" w:space="0" w:color="auto"/>
                    <w:right w:val="single" w:sz="4" w:space="0" w:color="auto"/>
                  </w:tcBorders>
                </w:tcPr>
                <w:p w14:paraId="138B7A8A" w14:textId="77777777" w:rsidR="00477E76" w:rsidRPr="00783DC2" w:rsidRDefault="00477E76" w:rsidP="007B1832">
                  <w:pPr>
                    <w:jc w:val="center"/>
                    <w:rPr>
                      <w:b/>
                      <w:szCs w:val="24"/>
                    </w:rPr>
                  </w:pPr>
                  <w:r w:rsidRPr="00783DC2">
                    <w:rPr>
                      <w:b/>
                      <w:szCs w:val="24"/>
                    </w:rPr>
                    <w:t>Lei</w:t>
                  </w:r>
                </w:p>
              </w:tc>
              <w:tc>
                <w:tcPr>
                  <w:tcW w:w="1452" w:type="dxa"/>
                  <w:tcBorders>
                    <w:top w:val="single" w:sz="4" w:space="0" w:color="auto"/>
                    <w:left w:val="single" w:sz="4" w:space="0" w:color="auto"/>
                    <w:bottom w:val="single" w:sz="4" w:space="0" w:color="auto"/>
                    <w:right w:val="single" w:sz="4" w:space="0" w:color="auto"/>
                  </w:tcBorders>
                </w:tcPr>
                <w:p w14:paraId="538732BB" w14:textId="77777777" w:rsidR="00477E76" w:rsidRPr="00783DC2" w:rsidRDefault="00477E76" w:rsidP="007B1832">
                  <w:pPr>
                    <w:rPr>
                      <w:szCs w:val="24"/>
                    </w:rPr>
                  </w:pPr>
                </w:p>
              </w:tc>
              <w:tc>
                <w:tcPr>
                  <w:tcW w:w="2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B2158A" w14:textId="77777777" w:rsidR="00477E76" w:rsidRPr="00783DC2" w:rsidRDefault="00477E76" w:rsidP="007B1832">
                  <w:pPr>
                    <w:rPr>
                      <w:szCs w:val="24"/>
                    </w:rPr>
                  </w:pPr>
                </w:p>
              </w:tc>
              <w:tc>
                <w:tcPr>
                  <w:tcW w:w="1843" w:type="dxa"/>
                  <w:tcBorders>
                    <w:top w:val="single" w:sz="4" w:space="0" w:color="auto"/>
                    <w:left w:val="single" w:sz="4" w:space="0" w:color="auto"/>
                    <w:bottom w:val="single" w:sz="4" w:space="0" w:color="auto"/>
                    <w:right w:val="single" w:sz="4" w:space="0" w:color="auto"/>
                  </w:tcBorders>
                </w:tcPr>
                <w:p w14:paraId="5BD5E7D5" w14:textId="77777777" w:rsidR="00477E76" w:rsidRPr="00783DC2" w:rsidRDefault="00477E76" w:rsidP="007B1832">
                  <w:pPr>
                    <w:rPr>
                      <w:szCs w:val="24"/>
                    </w:rPr>
                  </w:pPr>
                </w:p>
              </w:tc>
            </w:tr>
            <w:tr w:rsidR="00477E76" w:rsidRPr="00783DC2" w14:paraId="02A91100" w14:textId="382BBBFC" w:rsidTr="00563739">
              <w:trPr>
                <w:cantSplit/>
                <w:trHeight w:val="573"/>
                <w:jc w:val="center"/>
              </w:trPr>
              <w:tc>
                <w:tcPr>
                  <w:tcW w:w="691" w:type="dxa"/>
                  <w:vMerge/>
                  <w:tcBorders>
                    <w:left w:val="single" w:sz="4" w:space="0" w:color="auto"/>
                    <w:bottom w:val="single" w:sz="4" w:space="0" w:color="auto"/>
                    <w:right w:val="single" w:sz="4" w:space="0" w:color="auto"/>
                  </w:tcBorders>
                </w:tcPr>
                <w:p w14:paraId="40BE582B" w14:textId="77777777" w:rsidR="00477E76" w:rsidRPr="00783DC2" w:rsidRDefault="00477E76" w:rsidP="007B1832">
                  <w:pPr>
                    <w:ind w:left="-81" w:right="-78"/>
                    <w:jc w:val="center"/>
                    <w:rPr>
                      <w:b/>
                      <w:szCs w:val="24"/>
                    </w:rPr>
                  </w:pPr>
                </w:p>
              </w:tc>
              <w:tc>
                <w:tcPr>
                  <w:tcW w:w="1403" w:type="dxa"/>
                  <w:vMerge/>
                  <w:tcBorders>
                    <w:left w:val="single" w:sz="4" w:space="0" w:color="auto"/>
                    <w:bottom w:val="single" w:sz="4" w:space="0" w:color="auto"/>
                    <w:right w:val="single" w:sz="4" w:space="0" w:color="auto"/>
                  </w:tcBorders>
                </w:tcPr>
                <w:p w14:paraId="61494C4D" w14:textId="77777777" w:rsidR="00477E76" w:rsidRPr="00783DC2" w:rsidRDefault="00477E76" w:rsidP="007B1832">
                  <w:pPr>
                    <w:rPr>
                      <w:b/>
                      <w:szCs w:val="24"/>
                    </w:rPr>
                  </w:pPr>
                </w:p>
              </w:tc>
              <w:tc>
                <w:tcPr>
                  <w:tcW w:w="737" w:type="dxa"/>
                  <w:tcBorders>
                    <w:top w:val="single" w:sz="4" w:space="0" w:color="auto"/>
                    <w:left w:val="single" w:sz="4" w:space="0" w:color="auto"/>
                    <w:bottom w:val="single" w:sz="4" w:space="0" w:color="auto"/>
                    <w:right w:val="single" w:sz="4" w:space="0" w:color="auto"/>
                  </w:tcBorders>
                </w:tcPr>
                <w:p w14:paraId="54010847" w14:textId="77777777" w:rsidR="00477E76" w:rsidRPr="00783DC2" w:rsidRDefault="00477E76" w:rsidP="007B1832">
                  <w:pPr>
                    <w:jc w:val="center"/>
                    <w:rPr>
                      <w:b/>
                      <w:szCs w:val="24"/>
                    </w:rPr>
                  </w:pPr>
                  <w:r w:rsidRPr="00783DC2">
                    <w:rPr>
                      <w:b/>
                      <w:szCs w:val="24"/>
                    </w:rPr>
                    <w:t>Euro ***</w:t>
                  </w:r>
                </w:p>
              </w:tc>
              <w:tc>
                <w:tcPr>
                  <w:tcW w:w="1452" w:type="dxa"/>
                  <w:tcBorders>
                    <w:top w:val="single" w:sz="4" w:space="0" w:color="auto"/>
                    <w:left w:val="single" w:sz="4" w:space="0" w:color="auto"/>
                    <w:bottom w:val="single" w:sz="4" w:space="0" w:color="auto"/>
                    <w:right w:val="single" w:sz="4" w:space="0" w:color="auto"/>
                  </w:tcBorders>
                </w:tcPr>
                <w:p w14:paraId="4F2C2193" w14:textId="77777777" w:rsidR="00477E76" w:rsidRPr="00783DC2" w:rsidRDefault="00477E76" w:rsidP="007B1832">
                  <w:pPr>
                    <w:rPr>
                      <w:szCs w:val="24"/>
                    </w:rPr>
                  </w:pPr>
                </w:p>
              </w:tc>
              <w:tc>
                <w:tcPr>
                  <w:tcW w:w="2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10E834" w14:textId="77777777" w:rsidR="00477E76" w:rsidRPr="00783DC2" w:rsidRDefault="00477E76" w:rsidP="007B1832">
                  <w:pPr>
                    <w:rPr>
                      <w:szCs w:val="24"/>
                    </w:rPr>
                  </w:pPr>
                </w:p>
              </w:tc>
              <w:tc>
                <w:tcPr>
                  <w:tcW w:w="1843" w:type="dxa"/>
                  <w:tcBorders>
                    <w:top w:val="single" w:sz="4" w:space="0" w:color="auto"/>
                    <w:left w:val="single" w:sz="4" w:space="0" w:color="auto"/>
                    <w:bottom w:val="single" w:sz="4" w:space="0" w:color="auto"/>
                    <w:right w:val="single" w:sz="4" w:space="0" w:color="auto"/>
                  </w:tcBorders>
                </w:tcPr>
                <w:p w14:paraId="00D771B7" w14:textId="77777777" w:rsidR="00477E76" w:rsidRPr="00783DC2" w:rsidRDefault="00477E76" w:rsidP="007B1832">
                  <w:pPr>
                    <w:rPr>
                      <w:szCs w:val="24"/>
                    </w:rPr>
                  </w:pPr>
                </w:p>
              </w:tc>
            </w:tr>
          </w:tbl>
          <w:p w14:paraId="738C5F87" w14:textId="77777777" w:rsidR="00E611A0" w:rsidRDefault="00E611A0" w:rsidP="00D57409">
            <w:pPr>
              <w:jc w:val="both"/>
              <w:rPr>
                <w:rFonts w:cs="Times New Roman"/>
                <w:b/>
                <w:i/>
                <w:noProof/>
                <w:szCs w:val="24"/>
                <w:lang w:val="ro-RO"/>
              </w:rPr>
            </w:pPr>
          </w:p>
          <w:p w14:paraId="59615E67" w14:textId="77777777" w:rsidR="00C13CF8" w:rsidRPr="00107624" w:rsidRDefault="00C13CF8" w:rsidP="00C13CF8">
            <w:pPr>
              <w:shd w:val="clear" w:color="auto" w:fill="FFFFFF"/>
              <w:jc w:val="both"/>
              <w:rPr>
                <w:rFonts w:cs="Times New Roman"/>
                <w:b/>
                <w:i/>
                <w:noProof/>
                <w:szCs w:val="24"/>
                <w:lang w:val="ro-RO"/>
              </w:rPr>
            </w:pPr>
            <w:r w:rsidRPr="00D57409">
              <w:rPr>
                <w:rFonts w:cs="Times New Roman"/>
                <w:b/>
                <w:i/>
                <w:noProof/>
                <w:szCs w:val="24"/>
                <w:lang w:val="ro-RO"/>
              </w:rPr>
              <w:lastRenderedPageBreak/>
              <w:t xml:space="preserve">Pentru probarea elementelor </w:t>
            </w:r>
            <w:r>
              <w:rPr>
                <w:rFonts w:cs="Times New Roman"/>
                <w:b/>
                <w:i/>
                <w:noProof/>
                <w:szCs w:val="24"/>
                <w:lang w:val="ro-RO"/>
              </w:rPr>
              <w:t>din această anexă</w:t>
            </w:r>
            <w:r w:rsidRPr="00D57409">
              <w:rPr>
                <w:rFonts w:cs="Times New Roman"/>
                <w:b/>
                <w:i/>
                <w:noProof/>
                <w:szCs w:val="24"/>
                <w:lang w:val="ro-RO"/>
              </w:rPr>
              <w:t xml:space="preserve"> se pot prezenta şi ataşa, în plus, şi alte informaţii/documente faţă de cele solicitate, acolo unde este cazul.</w:t>
            </w:r>
          </w:p>
          <w:p w14:paraId="1EFFEB0A" w14:textId="6F3DAE5C" w:rsidR="00E611A0" w:rsidRPr="00D57409" w:rsidRDefault="00E611A0" w:rsidP="00D57409">
            <w:pPr>
              <w:jc w:val="both"/>
              <w:rPr>
                <w:rFonts w:cs="Times New Roman"/>
                <w:b/>
                <w:i/>
                <w:noProof/>
                <w:szCs w:val="24"/>
                <w:lang w:val="ro-RO"/>
              </w:rPr>
            </w:pPr>
          </w:p>
        </w:tc>
      </w:tr>
      <w:tr w:rsidR="00C13CF8" w:rsidRPr="00D57409" w14:paraId="44022404" w14:textId="77777777" w:rsidTr="00563739">
        <w:trPr>
          <w:trHeight w:val="3562"/>
        </w:trPr>
        <w:tc>
          <w:tcPr>
            <w:tcW w:w="10116" w:type="dxa"/>
            <w:gridSpan w:val="2"/>
            <w:tcBorders>
              <w:top w:val="single" w:sz="4" w:space="0" w:color="auto"/>
            </w:tcBorders>
          </w:tcPr>
          <w:p w14:paraId="5F97220D" w14:textId="77777777" w:rsidR="00C13CF8" w:rsidRDefault="00C13CF8" w:rsidP="00D57409">
            <w:pPr>
              <w:jc w:val="both"/>
              <w:rPr>
                <w:rFonts w:cs="Times New Roman"/>
                <w:b/>
                <w:i/>
                <w:noProof/>
                <w:szCs w:val="24"/>
                <w:lang w:val="ro-RO"/>
              </w:rPr>
            </w:pPr>
          </w:p>
        </w:tc>
      </w:tr>
    </w:tbl>
    <w:p w14:paraId="7B2533CF" w14:textId="35C4DE12" w:rsidR="00B1772C" w:rsidRPr="00107624" w:rsidRDefault="00B1772C" w:rsidP="008F7BA4">
      <w:pPr>
        <w:shd w:val="clear" w:color="auto" w:fill="FFFFFF"/>
        <w:spacing w:after="0" w:line="240" w:lineRule="auto"/>
        <w:jc w:val="both"/>
        <w:rPr>
          <w:rFonts w:cs="Times New Roman"/>
          <w:b/>
          <w:i/>
          <w:noProof/>
          <w:szCs w:val="24"/>
          <w:lang w:val="ro-RO"/>
        </w:rPr>
      </w:pPr>
    </w:p>
    <w:p w14:paraId="5C883B11" w14:textId="77777777" w:rsidR="008550D5" w:rsidRPr="00107624" w:rsidRDefault="008550D5" w:rsidP="008F7BA4">
      <w:pPr>
        <w:shd w:val="clear" w:color="auto" w:fill="FFFFFF"/>
        <w:spacing w:after="0" w:line="240" w:lineRule="auto"/>
        <w:jc w:val="both"/>
        <w:rPr>
          <w:rFonts w:cs="Times New Roman"/>
          <w:b/>
          <w:i/>
          <w:noProof/>
          <w:szCs w:val="24"/>
          <w:lang w:val="ro-RO"/>
        </w:rPr>
      </w:pPr>
    </w:p>
    <w:p w14:paraId="32F1286A" w14:textId="691B1648" w:rsidR="00D329E9" w:rsidRPr="00E611A0" w:rsidRDefault="00B1772C" w:rsidP="00E611A0">
      <w:pPr>
        <w:widowControl w:val="0"/>
        <w:autoSpaceDE w:val="0"/>
        <w:autoSpaceDN w:val="0"/>
        <w:adjustRightInd w:val="0"/>
        <w:spacing w:after="0" w:line="240" w:lineRule="auto"/>
        <w:jc w:val="both"/>
        <w:rPr>
          <w:rFonts w:eastAsia="Times New Roman" w:cs="Times New Roman"/>
          <w:szCs w:val="24"/>
          <w:lang w:val="ro-RO" w:eastAsia="sk-SK"/>
        </w:rPr>
      </w:pPr>
      <w:r w:rsidRPr="00107624">
        <w:rPr>
          <w:rFonts w:eastAsia="Times New Roman" w:cs="Times New Roman"/>
          <w:b/>
          <w:szCs w:val="24"/>
          <w:lang w:val="ro-RO" w:eastAsia="sk-SK"/>
        </w:rPr>
        <w:t xml:space="preserve">Data:                                      </w:t>
      </w:r>
      <w:r w:rsidR="00705B51" w:rsidRPr="00107624">
        <w:rPr>
          <w:rFonts w:eastAsia="Times New Roman" w:cs="Times New Roman"/>
          <w:b/>
          <w:szCs w:val="24"/>
          <w:lang w:val="ro-RO" w:eastAsia="sk-SK"/>
        </w:rPr>
        <w:t xml:space="preserve">            </w:t>
      </w:r>
      <w:r w:rsidRPr="00107624">
        <w:rPr>
          <w:rFonts w:eastAsia="Times New Roman" w:cs="Times New Roman"/>
          <w:b/>
          <w:szCs w:val="24"/>
          <w:lang w:val="ro-RO" w:eastAsia="sk-SK"/>
        </w:rPr>
        <w:t xml:space="preserve">        </w:t>
      </w:r>
      <w:r w:rsidR="006222DB" w:rsidRPr="00107624">
        <w:rPr>
          <w:rFonts w:eastAsia="Times New Roman" w:cs="Times New Roman"/>
          <w:b/>
          <w:szCs w:val="24"/>
          <w:lang w:val="ro-RO" w:eastAsia="sk-SK"/>
        </w:rPr>
        <w:t xml:space="preserve">     </w:t>
      </w:r>
      <w:r w:rsidR="003A3224" w:rsidRPr="00107624">
        <w:rPr>
          <w:rFonts w:eastAsia="Times New Roman" w:cs="Times New Roman"/>
          <w:b/>
          <w:szCs w:val="24"/>
          <w:lang w:val="ro-RO" w:eastAsia="sk-SK"/>
        </w:rPr>
        <w:t xml:space="preserve">           </w:t>
      </w:r>
      <w:r w:rsidRPr="00107624">
        <w:rPr>
          <w:rFonts w:eastAsia="Times New Roman" w:cs="Times New Roman"/>
          <w:b/>
          <w:szCs w:val="24"/>
          <w:lang w:val="ro-RO" w:eastAsia="sk-SK"/>
        </w:rPr>
        <w:t>Semnăturǎ reprezentant legal al solicitantului:</w:t>
      </w:r>
    </w:p>
    <w:sectPr w:rsidR="00D329E9" w:rsidRPr="00E611A0" w:rsidSect="00B91539">
      <w:headerReference w:type="default" r:id="rId7"/>
      <w:pgSz w:w="12240" w:h="15840"/>
      <w:pgMar w:top="1098" w:right="900" w:bottom="56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52ACA" w14:textId="77777777" w:rsidR="00701F40" w:rsidRDefault="00701F40" w:rsidP="00B1772C">
      <w:pPr>
        <w:spacing w:after="0" w:line="240" w:lineRule="auto"/>
      </w:pPr>
      <w:r>
        <w:separator/>
      </w:r>
    </w:p>
  </w:endnote>
  <w:endnote w:type="continuationSeparator" w:id="0">
    <w:p w14:paraId="69E65C56" w14:textId="77777777" w:rsidR="00701F40" w:rsidRDefault="00701F40"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F2917" w14:textId="77777777" w:rsidR="00701F40" w:rsidRDefault="00701F40" w:rsidP="00B1772C">
      <w:pPr>
        <w:spacing w:after="0" w:line="240" w:lineRule="auto"/>
      </w:pPr>
      <w:r>
        <w:separator/>
      </w:r>
    </w:p>
  </w:footnote>
  <w:footnote w:type="continuationSeparator" w:id="0">
    <w:p w14:paraId="6155D430" w14:textId="77777777" w:rsidR="00701F40" w:rsidRDefault="00701F40" w:rsidP="00B1772C">
      <w:pPr>
        <w:spacing w:after="0" w:line="240" w:lineRule="auto"/>
      </w:pPr>
      <w:r>
        <w:continuationSeparator/>
      </w:r>
    </w:p>
  </w:footnote>
  <w:footnote w:id="1">
    <w:p w14:paraId="13EAEAC3" w14:textId="318756B1" w:rsidR="00112CF5" w:rsidRPr="00F53592" w:rsidRDefault="00112CF5" w:rsidP="00B1772C">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38B9" w14:textId="77777777" w:rsidR="00535C5F" w:rsidRPr="00535C5F" w:rsidRDefault="00535C5F" w:rsidP="00535C5F">
    <w:pPr>
      <w:pStyle w:val="Header"/>
      <w:spacing w:after="240"/>
      <w:rPr>
        <w:sz w:val="16"/>
        <w:szCs w:val="16"/>
        <w:lang w:val="fr-FR"/>
      </w:rPr>
    </w:pPr>
    <w:r w:rsidRPr="00535C5F">
      <w:rPr>
        <w:sz w:val="16"/>
        <w:szCs w:val="16"/>
        <w:lang w:val="fr-FR"/>
      </w:rPr>
      <w:t>PNRR-</w:t>
    </w:r>
    <w:proofErr w:type="spellStart"/>
    <w:r w:rsidRPr="00535C5F">
      <w:rPr>
        <w:sz w:val="16"/>
        <w:szCs w:val="16"/>
        <w:lang w:val="fr-FR"/>
      </w:rPr>
      <w:t>Componenta</w:t>
    </w:r>
    <w:proofErr w:type="spellEnd"/>
    <w:r w:rsidRPr="00535C5F">
      <w:rPr>
        <w:sz w:val="16"/>
        <w:szCs w:val="16"/>
        <w:lang w:val="fr-FR"/>
      </w:rPr>
      <w:t xml:space="preserve"> C</w:t>
    </w:r>
    <w:proofErr w:type="gramStart"/>
    <w:r w:rsidRPr="00535C5F">
      <w:rPr>
        <w:sz w:val="16"/>
        <w:szCs w:val="16"/>
        <w:lang w:val="fr-FR"/>
      </w:rPr>
      <w:t>6..</w:t>
    </w:r>
    <w:proofErr w:type="gramEnd"/>
    <w:r w:rsidRPr="00535C5F">
      <w:rPr>
        <w:sz w:val="16"/>
        <w:szCs w:val="16"/>
        <w:lang w:val="fr-FR"/>
      </w:rPr>
      <w:t xml:space="preserve">Energie   </w:t>
    </w:r>
  </w:p>
  <w:p w14:paraId="22A50101" w14:textId="1C557E3F" w:rsidR="00535C5F" w:rsidRPr="00535C5F" w:rsidRDefault="00535C5F" w:rsidP="00535C5F">
    <w:pPr>
      <w:pStyle w:val="Header"/>
      <w:spacing w:after="240"/>
      <w:rPr>
        <w:sz w:val="16"/>
        <w:szCs w:val="16"/>
        <w:lang w:val="fr-FR"/>
      </w:rPr>
    </w:pPr>
    <w:r w:rsidRPr="00535C5F">
      <w:rPr>
        <w:sz w:val="16"/>
        <w:szCs w:val="16"/>
        <w:lang w:val="fr-FR"/>
      </w:rPr>
      <w:t xml:space="preserve"> </w:t>
    </w:r>
    <w:proofErr w:type="spellStart"/>
    <w:r w:rsidRPr="00535C5F">
      <w:rPr>
        <w:sz w:val="16"/>
        <w:szCs w:val="16"/>
        <w:lang w:val="fr-FR"/>
      </w:rPr>
      <w:t>Măsura</w:t>
    </w:r>
    <w:proofErr w:type="spellEnd"/>
    <w:r w:rsidRPr="00535C5F">
      <w:rPr>
        <w:sz w:val="16"/>
        <w:szCs w:val="16"/>
        <w:lang w:val="fr-FR"/>
      </w:rPr>
      <w:t xml:space="preserve"> de </w:t>
    </w:r>
    <w:proofErr w:type="spellStart"/>
    <w:r w:rsidRPr="00535C5F">
      <w:rPr>
        <w:sz w:val="16"/>
        <w:szCs w:val="16"/>
        <w:lang w:val="fr-FR"/>
      </w:rPr>
      <w:t>investiții</w:t>
    </w:r>
    <w:proofErr w:type="spellEnd"/>
    <w:r w:rsidRPr="00535C5F">
      <w:rPr>
        <w:sz w:val="16"/>
        <w:szCs w:val="16"/>
        <w:lang w:val="fr-FR"/>
      </w:rPr>
      <w:t xml:space="preserve"> - </w:t>
    </w:r>
    <w:proofErr w:type="spellStart"/>
    <w:r w:rsidRPr="00535C5F">
      <w:rPr>
        <w:sz w:val="16"/>
        <w:szCs w:val="16"/>
        <w:lang w:val="fr-FR"/>
      </w:rPr>
      <w:t>Investiția</w:t>
    </w:r>
    <w:proofErr w:type="spellEnd"/>
    <w:r w:rsidRPr="00535C5F">
      <w:rPr>
        <w:sz w:val="16"/>
        <w:szCs w:val="16"/>
        <w:lang w:val="fr-FR"/>
      </w:rPr>
      <w:t xml:space="preserve"> I5 – </w:t>
    </w:r>
    <w:proofErr w:type="spellStart"/>
    <w:r w:rsidR="00882495" w:rsidRPr="00882495">
      <w:rPr>
        <w:sz w:val="16"/>
        <w:szCs w:val="16"/>
        <w:lang w:val="fr-FR"/>
      </w:rPr>
      <w:t>Asigurarea</w:t>
    </w:r>
    <w:proofErr w:type="spellEnd"/>
    <w:r w:rsidR="00882495" w:rsidRPr="00882495">
      <w:rPr>
        <w:sz w:val="16"/>
        <w:szCs w:val="16"/>
        <w:lang w:val="fr-FR"/>
      </w:rPr>
      <w:t xml:space="preserve"> </w:t>
    </w:r>
    <w:proofErr w:type="spellStart"/>
    <w:r w:rsidR="00882495" w:rsidRPr="00882495">
      <w:rPr>
        <w:sz w:val="16"/>
        <w:szCs w:val="16"/>
        <w:lang w:val="fr-FR"/>
      </w:rPr>
      <w:t>eficienței</w:t>
    </w:r>
    <w:proofErr w:type="spellEnd"/>
    <w:r w:rsidR="00882495" w:rsidRPr="00882495">
      <w:rPr>
        <w:sz w:val="16"/>
        <w:szCs w:val="16"/>
        <w:lang w:val="fr-FR"/>
      </w:rPr>
      <w:t xml:space="preserve"> </w:t>
    </w:r>
    <w:proofErr w:type="spellStart"/>
    <w:r w:rsidR="00882495" w:rsidRPr="00882495">
      <w:rPr>
        <w:sz w:val="16"/>
        <w:szCs w:val="16"/>
        <w:lang w:val="fr-FR"/>
      </w:rPr>
      <w:t>energetice</w:t>
    </w:r>
    <w:proofErr w:type="spellEnd"/>
    <w:r w:rsidR="00882495" w:rsidRPr="00882495">
      <w:rPr>
        <w:sz w:val="16"/>
        <w:szCs w:val="16"/>
        <w:lang w:val="fr-FR"/>
      </w:rPr>
      <w:t xml:space="preserve"> </w:t>
    </w:r>
    <w:proofErr w:type="spellStart"/>
    <w:r w:rsidR="00882495" w:rsidRPr="00882495">
      <w:rPr>
        <w:sz w:val="16"/>
        <w:szCs w:val="16"/>
        <w:lang w:val="fr-FR"/>
      </w:rPr>
      <w:t>în</w:t>
    </w:r>
    <w:proofErr w:type="spellEnd"/>
    <w:r w:rsidR="00882495" w:rsidRPr="00882495">
      <w:rPr>
        <w:sz w:val="16"/>
        <w:szCs w:val="16"/>
        <w:lang w:val="fr-FR"/>
      </w:rPr>
      <w:t xml:space="preserve"> </w:t>
    </w:r>
    <w:proofErr w:type="spellStart"/>
    <w:r w:rsidR="00882495" w:rsidRPr="00882495">
      <w:rPr>
        <w:sz w:val="16"/>
        <w:szCs w:val="16"/>
        <w:lang w:val="fr-FR"/>
      </w:rPr>
      <w:t>sectorul</w:t>
    </w:r>
    <w:proofErr w:type="spellEnd"/>
    <w:r w:rsidR="00882495" w:rsidRPr="00882495">
      <w:rPr>
        <w:sz w:val="16"/>
        <w:szCs w:val="16"/>
        <w:lang w:val="fr-FR"/>
      </w:rPr>
      <w:t xml:space="preserve"> </w:t>
    </w:r>
    <w:proofErr w:type="spellStart"/>
    <w:r w:rsidR="00882495" w:rsidRPr="00882495">
      <w:rPr>
        <w:sz w:val="16"/>
        <w:szCs w:val="16"/>
        <w:lang w:val="fr-FR"/>
      </w:rPr>
      <w:t>industrial</w:t>
    </w:r>
    <w:proofErr w:type="spellEnd"/>
    <w:r w:rsidRPr="00535C5F">
      <w:rPr>
        <w:sz w:val="16"/>
        <w:szCs w:val="16"/>
        <w:lang w:val="fr-FR"/>
      </w:rPr>
      <w:t xml:space="preserve">                                                                                                          </w:t>
    </w:r>
  </w:p>
  <w:p w14:paraId="750896EA" w14:textId="2E8B0457" w:rsidR="00112CF5" w:rsidRPr="004D5A90" w:rsidRDefault="00535C5F" w:rsidP="00535C5F">
    <w:pPr>
      <w:pStyle w:val="Header"/>
      <w:spacing w:after="240"/>
      <w:rPr>
        <w:sz w:val="16"/>
        <w:szCs w:val="16"/>
        <w:lang w:val="fr-FR"/>
      </w:rPr>
    </w:pPr>
    <w:proofErr w:type="spellStart"/>
    <w:r>
      <w:rPr>
        <w:sz w:val="16"/>
        <w:szCs w:val="16"/>
        <w:lang w:val="fr-FR"/>
      </w:rPr>
      <w:t>Anexa</w:t>
    </w:r>
    <w:proofErr w:type="spellEnd"/>
    <w:r>
      <w:rPr>
        <w:sz w:val="16"/>
        <w:szCs w:val="16"/>
        <w:lang w:val="fr-FR"/>
      </w:rPr>
      <w:t xml:space="preserve"> 2</w:t>
    </w:r>
    <w:r w:rsidRPr="00535C5F">
      <w:rPr>
        <w:sz w:val="16"/>
        <w:szCs w:val="16"/>
        <w:lang w:val="fr-FR"/>
      </w:rPr>
      <w:t xml:space="preserve">_ </w:t>
    </w:r>
    <w:proofErr w:type="spellStart"/>
    <w:r w:rsidR="00882495">
      <w:rPr>
        <w:sz w:val="16"/>
        <w:szCs w:val="16"/>
        <w:lang w:val="fr-FR"/>
      </w:rPr>
      <w:t>schema</w:t>
    </w:r>
    <w:proofErr w:type="spellEnd"/>
    <w:r w:rsidR="00882495">
      <w:rPr>
        <w:sz w:val="16"/>
        <w:szCs w:val="16"/>
        <w:lang w:val="fr-FR"/>
      </w:rPr>
      <w:t xml:space="preserve"> de </w:t>
    </w:r>
    <w:proofErr w:type="spellStart"/>
    <w:r w:rsidR="00882495">
      <w:rPr>
        <w:sz w:val="16"/>
        <w:szCs w:val="16"/>
        <w:lang w:val="fr-FR"/>
      </w:rPr>
      <w:t>ajutor</w:t>
    </w:r>
    <w:proofErr w:type="spellEnd"/>
    <w:r w:rsidR="00882495">
      <w:rPr>
        <w:sz w:val="16"/>
        <w:szCs w:val="16"/>
        <w:lang w:val="fr-FR"/>
      </w:rPr>
      <w:t xml:space="preserve"> de stat</w:t>
    </w:r>
    <w:r w:rsidR="00112CF5" w:rsidRPr="004D5A90">
      <w:rPr>
        <w:sz w:val="16"/>
        <w:szCs w:val="16"/>
        <w:lang w:val="fr-FR"/>
      </w:rPr>
      <w:t xml:space="preserve">                                                                                                           </w:t>
    </w:r>
    <w:r w:rsidR="00112CF5">
      <w:rPr>
        <w:sz w:val="16"/>
        <w:szCs w:val="16"/>
        <w:lang w:val="fr-FR"/>
      </w:rPr>
      <w:t xml:space="preserve">                         </w:t>
    </w:r>
    <w:r w:rsidR="00112CF5" w:rsidRPr="004D5A90">
      <w:rPr>
        <w:sz w:val="16"/>
        <w:szCs w:val="16"/>
        <w:lang w:val="fr-FR"/>
      </w:rPr>
      <w:t xml:space="preserve"> </w:t>
    </w:r>
    <w:r w:rsidR="00273C16">
      <w:rPr>
        <w:sz w:val="16"/>
        <w:szCs w:val="16"/>
        <w:lang w:val="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3A06"/>
    <w:multiLevelType w:val="hybridMultilevel"/>
    <w:tmpl w:val="18C6E7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F4816"/>
    <w:multiLevelType w:val="hybridMultilevel"/>
    <w:tmpl w:val="BD7E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7E75B1"/>
    <w:multiLevelType w:val="hybridMultilevel"/>
    <w:tmpl w:val="7F403D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6186BF1"/>
    <w:multiLevelType w:val="hybridMultilevel"/>
    <w:tmpl w:val="B52025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61196F"/>
    <w:multiLevelType w:val="hybridMultilevel"/>
    <w:tmpl w:val="71B000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F420B2"/>
    <w:multiLevelType w:val="hybridMultilevel"/>
    <w:tmpl w:val="004CA3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771956"/>
    <w:multiLevelType w:val="hybridMultilevel"/>
    <w:tmpl w:val="388CE05C"/>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15:restartNumberingAfterBreak="0">
    <w:nsid w:val="5482478E"/>
    <w:multiLevelType w:val="hybridMultilevel"/>
    <w:tmpl w:val="89CCDE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6512D85"/>
    <w:multiLevelType w:val="hybridMultilevel"/>
    <w:tmpl w:val="701659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2" w15:restartNumberingAfterBreak="0">
    <w:nsid w:val="5EFE0B21"/>
    <w:multiLevelType w:val="hybridMultilevel"/>
    <w:tmpl w:val="F15CE12C"/>
    <w:lvl w:ilvl="0" w:tplc="B09CC7F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6FAD0A61"/>
    <w:multiLevelType w:val="hybridMultilevel"/>
    <w:tmpl w:val="9C528E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D716C8"/>
    <w:multiLevelType w:val="hybridMultilevel"/>
    <w:tmpl w:val="34A03924"/>
    <w:lvl w:ilvl="0" w:tplc="F11A005C">
      <w:start w:val="1"/>
      <w:numFmt w:val="decimal"/>
      <w:lvlText w:val="%1."/>
      <w:lvlJc w:val="left"/>
      <w:pPr>
        <w:ind w:left="1056" w:hanging="360"/>
      </w:pPr>
      <w:rPr>
        <w:rFonts w:hint="default"/>
        <w:color w:val="30849B"/>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17"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6471578">
    <w:abstractNumId w:val="9"/>
  </w:num>
  <w:num w:numId="2" w16cid:durableId="1037270044">
    <w:abstractNumId w:val="17"/>
  </w:num>
  <w:num w:numId="3" w16cid:durableId="2060126768">
    <w:abstractNumId w:val="13"/>
  </w:num>
  <w:num w:numId="4" w16cid:durableId="925772331">
    <w:abstractNumId w:val="15"/>
  </w:num>
  <w:num w:numId="5" w16cid:durableId="1871650613">
    <w:abstractNumId w:val="3"/>
  </w:num>
  <w:num w:numId="6" w16cid:durableId="761802660">
    <w:abstractNumId w:val="11"/>
  </w:num>
  <w:num w:numId="7" w16cid:durableId="952055067">
    <w:abstractNumId w:val="2"/>
  </w:num>
  <w:num w:numId="8" w16cid:durableId="1736318441">
    <w:abstractNumId w:val="10"/>
  </w:num>
  <w:num w:numId="9" w16cid:durableId="1628852369">
    <w:abstractNumId w:val="7"/>
  </w:num>
  <w:num w:numId="10" w16cid:durableId="1834026166">
    <w:abstractNumId w:val="4"/>
  </w:num>
  <w:num w:numId="11" w16cid:durableId="399597971">
    <w:abstractNumId w:val="6"/>
  </w:num>
  <w:num w:numId="12" w16cid:durableId="1651405303">
    <w:abstractNumId w:val="8"/>
  </w:num>
  <w:num w:numId="13" w16cid:durableId="1245723781">
    <w:abstractNumId w:val="14"/>
  </w:num>
  <w:num w:numId="14" w16cid:durableId="1751540313">
    <w:abstractNumId w:val="16"/>
  </w:num>
  <w:num w:numId="15" w16cid:durableId="519003825">
    <w:abstractNumId w:val="5"/>
  </w:num>
  <w:num w:numId="16" w16cid:durableId="2089694149">
    <w:abstractNumId w:val="1"/>
  </w:num>
  <w:num w:numId="17" w16cid:durableId="1324894872">
    <w:abstractNumId w:val="0"/>
  </w:num>
  <w:num w:numId="18" w16cid:durableId="6066241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0B4"/>
    <w:rsid w:val="00005D21"/>
    <w:rsid w:val="00013028"/>
    <w:rsid w:val="0002062E"/>
    <w:rsid w:val="00031E7D"/>
    <w:rsid w:val="00032141"/>
    <w:rsid w:val="00037EF5"/>
    <w:rsid w:val="000550B4"/>
    <w:rsid w:val="00064E2C"/>
    <w:rsid w:val="00070F71"/>
    <w:rsid w:val="00071F6C"/>
    <w:rsid w:val="00081006"/>
    <w:rsid w:val="000815B4"/>
    <w:rsid w:val="0008341B"/>
    <w:rsid w:val="0008573F"/>
    <w:rsid w:val="000A4F2B"/>
    <w:rsid w:val="000B27A8"/>
    <w:rsid w:val="000B342A"/>
    <w:rsid w:val="000B43F6"/>
    <w:rsid w:val="000B6820"/>
    <w:rsid w:val="000C2C4B"/>
    <w:rsid w:val="000D0106"/>
    <w:rsid w:val="000D0420"/>
    <w:rsid w:val="000D168C"/>
    <w:rsid w:val="000D4619"/>
    <w:rsid w:val="000E10F4"/>
    <w:rsid w:val="000F5D28"/>
    <w:rsid w:val="000F6D69"/>
    <w:rsid w:val="0010170A"/>
    <w:rsid w:val="00107624"/>
    <w:rsid w:val="00111D6E"/>
    <w:rsid w:val="001127FF"/>
    <w:rsid w:val="001129EC"/>
    <w:rsid w:val="00112CF5"/>
    <w:rsid w:val="00125916"/>
    <w:rsid w:val="001276E2"/>
    <w:rsid w:val="00131189"/>
    <w:rsid w:val="00132DD7"/>
    <w:rsid w:val="001353D1"/>
    <w:rsid w:val="00136FEB"/>
    <w:rsid w:val="00137F01"/>
    <w:rsid w:val="00157B0B"/>
    <w:rsid w:val="0016229D"/>
    <w:rsid w:val="001639E8"/>
    <w:rsid w:val="00172F38"/>
    <w:rsid w:val="001767E0"/>
    <w:rsid w:val="00176922"/>
    <w:rsid w:val="00181923"/>
    <w:rsid w:val="00183ECA"/>
    <w:rsid w:val="00191C51"/>
    <w:rsid w:val="00195D58"/>
    <w:rsid w:val="001B0957"/>
    <w:rsid w:val="001B13EE"/>
    <w:rsid w:val="001C1064"/>
    <w:rsid w:val="001C58DC"/>
    <w:rsid w:val="001D18BB"/>
    <w:rsid w:val="001D5677"/>
    <w:rsid w:val="001F1E1F"/>
    <w:rsid w:val="001F22AA"/>
    <w:rsid w:val="002016A1"/>
    <w:rsid w:val="00202A32"/>
    <w:rsid w:val="00202E9A"/>
    <w:rsid w:val="00205561"/>
    <w:rsid w:val="002104E8"/>
    <w:rsid w:val="00215756"/>
    <w:rsid w:val="0022302E"/>
    <w:rsid w:val="0022419C"/>
    <w:rsid w:val="00233686"/>
    <w:rsid w:val="00234512"/>
    <w:rsid w:val="002404E3"/>
    <w:rsid w:val="00242C08"/>
    <w:rsid w:val="00243867"/>
    <w:rsid w:val="00253352"/>
    <w:rsid w:val="00253964"/>
    <w:rsid w:val="00260503"/>
    <w:rsid w:val="00262400"/>
    <w:rsid w:val="002653A8"/>
    <w:rsid w:val="00267A14"/>
    <w:rsid w:val="00270CA3"/>
    <w:rsid w:val="00273C16"/>
    <w:rsid w:val="00280831"/>
    <w:rsid w:val="00284F62"/>
    <w:rsid w:val="00287351"/>
    <w:rsid w:val="00292823"/>
    <w:rsid w:val="002A63AE"/>
    <w:rsid w:val="002A75EC"/>
    <w:rsid w:val="002A7675"/>
    <w:rsid w:val="002B651A"/>
    <w:rsid w:val="002B7156"/>
    <w:rsid w:val="002D340D"/>
    <w:rsid w:val="002E5EEE"/>
    <w:rsid w:val="002F71B9"/>
    <w:rsid w:val="002F7281"/>
    <w:rsid w:val="00301DE0"/>
    <w:rsid w:val="00305914"/>
    <w:rsid w:val="003060D2"/>
    <w:rsid w:val="00306447"/>
    <w:rsid w:val="003243A3"/>
    <w:rsid w:val="00325C6F"/>
    <w:rsid w:val="00326AA7"/>
    <w:rsid w:val="00335A65"/>
    <w:rsid w:val="00361635"/>
    <w:rsid w:val="003633A6"/>
    <w:rsid w:val="00364BE1"/>
    <w:rsid w:val="00365DF4"/>
    <w:rsid w:val="00373896"/>
    <w:rsid w:val="00377782"/>
    <w:rsid w:val="00382E62"/>
    <w:rsid w:val="003861B6"/>
    <w:rsid w:val="00390560"/>
    <w:rsid w:val="003933E0"/>
    <w:rsid w:val="00393DFF"/>
    <w:rsid w:val="00394298"/>
    <w:rsid w:val="00396211"/>
    <w:rsid w:val="003A184D"/>
    <w:rsid w:val="003A3224"/>
    <w:rsid w:val="003A4FAF"/>
    <w:rsid w:val="003A6D6F"/>
    <w:rsid w:val="003A6F12"/>
    <w:rsid w:val="003B0AED"/>
    <w:rsid w:val="003B1722"/>
    <w:rsid w:val="003B5493"/>
    <w:rsid w:val="003C5801"/>
    <w:rsid w:val="003C7D04"/>
    <w:rsid w:val="003D0725"/>
    <w:rsid w:val="003D1E73"/>
    <w:rsid w:val="003D20DF"/>
    <w:rsid w:val="003D5412"/>
    <w:rsid w:val="003D5E84"/>
    <w:rsid w:val="003F037D"/>
    <w:rsid w:val="003F316A"/>
    <w:rsid w:val="00403364"/>
    <w:rsid w:val="00404182"/>
    <w:rsid w:val="0040695A"/>
    <w:rsid w:val="0040742C"/>
    <w:rsid w:val="00407D08"/>
    <w:rsid w:val="00417152"/>
    <w:rsid w:val="004213A0"/>
    <w:rsid w:val="00421E8E"/>
    <w:rsid w:val="00423BD1"/>
    <w:rsid w:val="00423F5E"/>
    <w:rsid w:val="00433665"/>
    <w:rsid w:val="00434084"/>
    <w:rsid w:val="004430AF"/>
    <w:rsid w:val="0044453A"/>
    <w:rsid w:val="0044516C"/>
    <w:rsid w:val="00445199"/>
    <w:rsid w:val="004468BE"/>
    <w:rsid w:val="00457511"/>
    <w:rsid w:val="00464009"/>
    <w:rsid w:val="00470838"/>
    <w:rsid w:val="0047395F"/>
    <w:rsid w:val="00473FEE"/>
    <w:rsid w:val="004753AE"/>
    <w:rsid w:val="00477E76"/>
    <w:rsid w:val="00482374"/>
    <w:rsid w:val="00486352"/>
    <w:rsid w:val="004867CE"/>
    <w:rsid w:val="00492E9B"/>
    <w:rsid w:val="0049421C"/>
    <w:rsid w:val="00494679"/>
    <w:rsid w:val="004A0162"/>
    <w:rsid w:val="004A3B4B"/>
    <w:rsid w:val="004B47F1"/>
    <w:rsid w:val="004B77DB"/>
    <w:rsid w:val="004C2091"/>
    <w:rsid w:val="004C7D06"/>
    <w:rsid w:val="004D5A90"/>
    <w:rsid w:val="004D7CCE"/>
    <w:rsid w:val="004E3768"/>
    <w:rsid w:val="004F5FD8"/>
    <w:rsid w:val="00515CE5"/>
    <w:rsid w:val="005171EE"/>
    <w:rsid w:val="00526CBE"/>
    <w:rsid w:val="00530FAD"/>
    <w:rsid w:val="00535C5F"/>
    <w:rsid w:val="00551B62"/>
    <w:rsid w:val="00563739"/>
    <w:rsid w:val="005645B8"/>
    <w:rsid w:val="00595F11"/>
    <w:rsid w:val="005A55CB"/>
    <w:rsid w:val="005B1B37"/>
    <w:rsid w:val="005B1CB7"/>
    <w:rsid w:val="005B703C"/>
    <w:rsid w:val="005C3403"/>
    <w:rsid w:val="005C7368"/>
    <w:rsid w:val="005D5609"/>
    <w:rsid w:val="005D7543"/>
    <w:rsid w:val="005E0FFA"/>
    <w:rsid w:val="005F3C9B"/>
    <w:rsid w:val="005F5D53"/>
    <w:rsid w:val="006049F7"/>
    <w:rsid w:val="0060524E"/>
    <w:rsid w:val="00606AD9"/>
    <w:rsid w:val="0061296D"/>
    <w:rsid w:val="0061305D"/>
    <w:rsid w:val="0062206D"/>
    <w:rsid w:val="006222DB"/>
    <w:rsid w:val="00625C36"/>
    <w:rsid w:val="006359B2"/>
    <w:rsid w:val="006407F0"/>
    <w:rsid w:val="00646F65"/>
    <w:rsid w:val="00650228"/>
    <w:rsid w:val="00650E27"/>
    <w:rsid w:val="00681DFF"/>
    <w:rsid w:val="00687154"/>
    <w:rsid w:val="00687A50"/>
    <w:rsid w:val="00687F6F"/>
    <w:rsid w:val="00694E54"/>
    <w:rsid w:val="006A26FA"/>
    <w:rsid w:val="006A3CEA"/>
    <w:rsid w:val="006A6FEB"/>
    <w:rsid w:val="006B67DF"/>
    <w:rsid w:val="006C12DD"/>
    <w:rsid w:val="006C4180"/>
    <w:rsid w:val="006D1688"/>
    <w:rsid w:val="006D6E8A"/>
    <w:rsid w:val="006F1323"/>
    <w:rsid w:val="006F5483"/>
    <w:rsid w:val="006F56CA"/>
    <w:rsid w:val="006F596D"/>
    <w:rsid w:val="006F66E6"/>
    <w:rsid w:val="00701F40"/>
    <w:rsid w:val="00705B51"/>
    <w:rsid w:val="007216FF"/>
    <w:rsid w:val="0072640E"/>
    <w:rsid w:val="007275F4"/>
    <w:rsid w:val="00727902"/>
    <w:rsid w:val="007327BB"/>
    <w:rsid w:val="00733893"/>
    <w:rsid w:val="00733A9C"/>
    <w:rsid w:val="00735E90"/>
    <w:rsid w:val="007425C6"/>
    <w:rsid w:val="00744352"/>
    <w:rsid w:val="00754D9D"/>
    <w:rsid w:val="0076025B"/>
    <w:rsid w:val="00762428"/>
    <w:rsid w:val="007638AA"/>
    <w:rsid w:val="0078265B"/>
    <w:rsid w:val="00790C20"/>
    <w:rsid w:val="00792217"/>
    <w:rsid w:val="00796E6A"/>
    <w:rsid w:val="007A1EB2"/>
    <w:rsid w:val="007A4998"/>
    <w:rsid w:val="007B17E3"/>
    <w:rsid w:val="007B1D49"/>
    <w:rsid w:val="007B71FF"/>
    <w:rsid w:val="007B7477"/>
    <w:rsid w:val="007C3ECB"/>
    <w:rsid w:val="007C5373"/>
    <w:rsid w:val="007D1316"/>
    <w:rsid w:val="007D501A"/>
    <w:rsid w:val="007E0D98"/>
    <w:rsid w:val="007F0A02"/>
    <w:rsid w:val="007F2198"/>
    <w:rsid w:val="007F2524"/>
    <w:rsid w:val="007F2D12"/>
    <w:rsid w:val="007F4227"/>
    <w:rsid w:val="0080015E"/>
    <w:rsid w:val="008008AF"/>
    <w:rsid w:val="00816356"/>
    <w:rsid w:val="0081676F"/>
    <w:rsid w:val="008209F4"/>
    <w:rsid w:val="00824C5B"/>
    <w:rsid w:val="0082538B"/>
    <w:rsid w:val="0082585A"/>
    <w:rsid w:val="0082650E"/>
    <w:rsid w:val="00827481"/>
    <w:rsid w:val="00830E60"/>
    <w:rsid w:val="0083509A"/>
    <w:rsid w:val="0085267A"/>
    <w:rsid w:val="008550D5"/>
    <w:rsid w:val="00881505"/>
    <w:rsid w:val="00882495"/>
    <w:rsid w:val="00884EF0"/>
    <w:rsid w:val="00887B57"/>
    <w:rsid w:val="00891660"/>
    <w:rsid w:val="00895655"/>
    <w:rsid w:val="008A1D7B"/>
    <w:rsid w:val="008A3C60"/>
    <w:rsid w:val="008C0BC7"/>
    <w:rsid w:val="008C26EA"/>
    <w:rsid w:val="008C42C9"/>
    <w:rsid w:val="008D43BC"/>
    <w:rsid w:val="008E072C"/>
    <w:rsid w:val="008E4D25"/>
    <w:rsid w:val="008F2089"/>
    <w:rsid w:val="008F7BA4"/>
    <w:rsid w:val="00903B0F"/>
    <w:rsid w:val="009054E2"/>
    <w:rsid w:val="00913759"/>
    <w:rsid w:val="00913A01"/>
    <w:rsid w:val="009236C4"/>
    <w:rsid w:val="00926DA7"/>
    <w:rsid w:val="00930FF6"/>
    <w:rsid w:val="00931DE7"/>
    <w:rsid w:val="009323F4"/>
    <w:rsid w:val="0093396A"/>
    <w:rsid w:val="009355C1"/>
    <w:rsid w:val="00937DF6"/>
    <w:rsid w:val="00957FB0"/>
    <w:rsid w:val="00964995"/>
    <w:rsid w:val="00964B14"/>
    <w:rsid w:val="00967909"/>
    <w:rsid w:val="009777C7"/>
    <w:rsid w:val="0098085D"/>
    <w:rsid w:val="00986CE5"/>
    <w:rsid w:val="00986F59"/>
    <w:rsid w:val="00987675"/>
    <w:rsid w:val="00997686"/>
    <w:rsid w:val="009A3300"/>
    <w:rsid w:val="009A3EB8"/>
    <w:rsid w:val="009B2CDC"/>
    <w:rsid w:val="009B4000"/>
    <w:rsid w:val="009C4363"/>
    <w:rsid w:val="009C436B"/>
    <w:rsid w:val="009D7400"/>
    <w:rsid w:val="009D7F80"/>
    <w:rsid w:val="009E670F"/>
    <w:rsid w:val="00A0241C"/>
    <w:rsid w:val="00A128AB"/>
    <w:rsid w:val="00A22C57"/>
    <w:rsid w:val="00A25A48"/>
    <w:rsid w:val="00A31866"/>
    <w:rsid w:val="00A40D19"/>
    <w:rsid w:val="00A54628"/>
    <w:rsid w:val="00A56400"/>
    <w:rsid w:val="00A57E97"/>
    <w:rsid w:val="00A57F94"/>
    <w:rsid w:val="00A72A3A"/>
    <w:rsid w:val="00A73FDA"/>
    <w:rsid w:val="00A74DE4"/>
    <w:rsid w:val="00A7533E"/>
    <w:rsid w:val="00A76AC1"/>
    <w:rsid w:val="00A85B49"/>
    <w:rsid w:val="00A929F0"/>
    <w:rsid w:val="00AA0B69"/>
    <w:rsid w:val="00AB0BF7"/>
    <w:rsid w:val="00AC0035"/>
    <w:rsid w:val="00AC430D"/>
    <w:rsid w:val="00AC79F8"/>
    <w:rsid w:val="00AE032F"/>
    <w:rsid w:val="00AE1410"/>
    <w:rsid w:val="00AE71F9"/>
    <w:rsid w:val="00AF39B4"/>
    <w:rsid w:val="00AF6292"/>
    <w:rsid w:val="00B00367"/>
    <w:rsid w:val="00B06FFE"/>
    <w:rsid w:val="00B1772C"/>
    <w:rsid w:val="00B23684"/>
    <w:rsid w:val="00B32562"/>
    <w:rsid w:val="00B34712"/>
    <w:rsid w:val="00B42D91"/>
    <w:rsid w:val="00B44EEA"/>
    <w:rsid w:val="00B54331"/>
    <w:rsid w:val="00B57774"/>
    <w:rsid w:val="00B57A33"/>
    <w:rsid w:val="00B612FE"/>
    <w:rsid w:val="00B6615F"/>
    <w:rsid w:val="00B80FF9"/>
    <w:rsid w:val="00B81C7F"/>
    <w:rsid w:val="00B900A7"/>
    <w:rsid w:val="00B91539"/>
    <w:rsid w:val="00BA0356"/>
    <w:rsid w:val="00BA26D2"/>
    <w:rsid w:val="00BA365B"/>
    <w:rsid w:val="00BA5EA8"/>
    <w:rsid w:val="00BA64BB"/>
    <w:rsid w:val="00BB40C5"/>
    <w:rsid w:val="00BD637F"/>
    <w:rsid w:val="00BD6E19"/>
    <w:rsid w:val="00BE093D"/>
    <w:rsid w:val="00BE3CB5"/>
    <w:rsid w:val="00BF04CA"/>
    <w:rsid w:val="00C113F2"/>
    <w:rsid w:val="00C13CF8"/>
    <w:rsid w:val="00C178A4"/>
    <w:rsid w:val="00C217DE"/>
    <w:rsid w:val="00C23D55"/>
    <w:rsid w:val="00C2667C"/>
    <w:rsid w:val="00C30B3D"/>
    <w:rsid w:val="00C4076B"/>
    <w:rsid w:val="00C41A1E"/>
    <w:rsid w:val="00C456E8"/>
    <w:rsid w:val="00C56EEA"/>
    <w:rsid w:val="00C643BE"/>
    <w:rsid w:val="00C6448E"/>
    <w:rsid w:val="00C73719"/>
    <w:rsid w:val="00C75FCD"/>
    <w:rsid w:val="00C760F1"/>
    <w:rsid w:val="00C7747B"/>
    <w:rsid w:val="00C82CA7"/>
    <w:rsid w:val="00C84399"/>
    <w:rsid w:val="00CA2D24"/>
    <w:rsid w:val="00CA7581"/>
    <w:rsid w:val="00CB05AC"/>
    <w:rsid w:val="00CB1ADB"/>
    <w:rsid w:val="00CB1B17"/>
    <w:rsid w:val="00CB1CF6"/>
    <w:rsid w:val="00CB1E2F"/>
    <w:rsid w:val="00CB54A3"/>
    <w:rsid w:val="00CC155D"/>
    <w:rsid w:val="00CD0808"/>
    <w:rsid w:val="00CD5DEF"/>
    <w:rsid w:val="00CE0DB7"/>
    <w:rsid w:val="00CE2433"/>
    <w:rsid w:val="00CE2EAC"/>
    <w:rsid w:val="00CE4705"/>
    <w:rsid w:val="00CF7BF0"/>
    <w:rsid w:val="00D15FDB"/>
    <w:rsid w:val="00D22C3B"/>
    <w:rsid w:val="00D238D3"/>
    <w:rsid w:val="00D254D7"/>
    <w:rsid w:val="00D329E9"/>
    <w:rsid w:val="00D3531A"/>
    <w:rsid w:val="00D369E7"/>
    <w:rsid w:val="00D423FC"/>
    <w:rsid w:val="00D43DAA"/>
    <w:rsid w:val="00D515B2"/>
    <w:rsid w:val="00D53032"/>
    <w:rsid w:val="00D57409"/>
    <w:rsid w:val="00D603BC"/>
    <w:rsid w:val="00D60521"/>
    <w:rsid w:val="00D72871"/>
    <w:rsid w:val="00D804E0"/>
    <w:rsid w:val="00D860DD"/>
    <w:rsid w:val="00D90E91"/>
    <w:rsid w:val="00D97ED6"/>
    <w:rsid w:val="00DA0825"/>
    <w:rsid w:val="00DA4831"/>
    <w:rsid w:val="00DA60F3"/>
    <w:rsid w:val="00DA616A"/>
    <w:rsid w:val="00DB6F54"/>
    <w:rsid w:val="00DC5743"/>
    <w:rsid w:val="00DC7028"/>
    <w:rsid w:val="00DD5C57"/>
    <w:rsid w:val="00DF0CAA"/>
    <w:rsid w:val="00DF74B5"/>
    <w:rsid w:val="00E01B46"/>
    <w:rsid w:val="00E03A09"/>
    <w:rsid w:val="00E11CB9"/>
    <w:rsid w:val="00E22DE6"/>
    <w:rsid w:val="00E33FD1"/>
    <w:rsid w:val="00E40C9C"/>
    <w:rsid w:val="00E42E83"/>
    <w:rsid w:val="00E44679"/>
    <w:rsid w:val="00E512A2"/>
    <w:rsid w:val="00E55EF6"/>
    <w:rsid w:val="00E611A0"/>
    <w:rsid w:val="00E6278D"/>
    <w:rsid w:val="00E72D6C"/>
    <w:rsid w:val="00E77C31"/>
    <w:rsid w:val="00E77D5A"/>
    <w:rsid w:val="00E947EE"/>
    <w:rsid w:val="00EA3C87"/>
    <w:rsid w:val="00EB17C5"/>
    <w:rsid w:val="00EB5A9A"/>
    <w:rsid w:val="00EB5AE6"/>
    <w:rsid w:val="00EC6269"/>
    <w:rsid w:val="00EC7EBD"/>
    <w:rsid w:val="00ED3466"/>
    <w:rsid w:val="00EE534F"/>
    <w:rsid w:val="00EF35E2"/>
    <w:rsid w:val="00F00647"/>
    <w:rsid w:val="00F01E3F"/>
    <w:rsid w:val="00F03D15"/>
    <w:rsid w:val="00F05038"/>
    <w:rsid w:val="00F06990"/>
    <w:rsid w:val="00F12D68"/>
    <w:rsid w:val="00F14851"/>
    <w:rsid w:val="00F21499"/>
    <w:rsid w:val="00F32481"/>
    <w:rsid w:val="00F33394"/>
    <w:rsid w:val="00F339A2"/>
    <w:rsid w:val="00F34F53"/>
    <w:rsid w:val="00F4349E"/>
    <w:rsid w:val="00F64949"/>
    <w:rsid w:val="00F711CB"/>
    <w:rsid w:val="00F71E75"/>
    <w:rsid w:val="00F77C15"/>
    <w:rsid w:val="00F8103F"/>
    <w:rsid w:val="00F86030"/>
    <w:rsid w:val="00F94D89"/>
    <w:rsid w:val="00F9770E"/>
    <w:rsid w:val="00FA051A"/>
    <w:rsid w:val="00FB0F56"/>
    <w:rsid w:val="00FB1D12"/>
    <w:rsid w:val="00FE70E9"/>
    <w:rsid w:val="00FF613B"/>
    <w:rsid w:val="00FF63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B1DB8F"/>
  <w15:docId w15:val="{B9A83F3D-11C4-4BC2-B8B9-D58AF9810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1A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iPriority w:val="99"/>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qForma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table" w:customStyle="1" w:styleId="TableGrid1">
    <w:name w:val="Table Grid1"/>
    <w:basedOn w:val="TableNormal"/>
    <w:next w:val="TableGrid"/>
    <w:rsid w:val="00BB4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453A"/>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08341B"/>
    <w:rPr>
      <w:sz w:val="16"/>
      <w:szCs w:val="16"/>
    </w:rPr>
  </w:style>
  <w:style w:type="paragraph" w:styleId="CommentText">
    <w:name w:val="annotation text"/>
    <w:basedOn w:val="Normal"/>
    <w:link w:val="CommentTextChar"/>
    <w:uiPriority w:val="99"/>
    <w:unhideWhenUsed/>
    <w:rsid w:val="0008341B"/>
    <w:pPr>
      <w:spacing w:line="240" w:lineRule="auto"/>
    </w:pPr>
    <w:rPr>
      <w:sz w:val="20"/>
      <w:szCs w:val="20"/>
    </w:rPr>
  </w:style>
  <w:style w:type="character" w:customStyle="1" w:styleId="CommentTextChar">
    <w:name w:val="Comment Text Char"/>
    <w:basedOn w:val="DefaultParagraphFont"/>
    <w:link w:val="CommentText"/>
    <w:uiPriority w:val="99"/>
    <w:rsid w:val="0008341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8341B"/>
    <w:rPr>
      <w:b/>
      <w:bCs/>
    </w:rPr>
  </w:style>
  <w:style w:type="character" w:customStyle="1" w:styleId="CommentSubjectChar">
    <w:name w:val="Comment Subject Char"/>
    <w:basedOn w:val="CommentTextChar"/>
    <w:link w:val="CommentSubject"/>
    <w:uiPriority w:val="99"/>
    <w:semiHidden/>
    <w:rsid w:val="0008341B"/>
    <w:rPr>
      <w:rFonts w:ascii="Times New Roman" w:hAnsi="Times New Roman"/>
      <w:b/>
      <w:bCs/>
      <w:sz w:val="20"/>
      <w:szCs w:val="20"/>
    </w:rPr>
  </w:style>
  <w:style w:type="table" w:customStyle="1" w:styleId="TableGrid2">
    <w:name w:val="Table Grid2"/>
    <w:basedOn w:val="TableNormal"/>
    <w:next w:val="TableGrid"/>
    <w:uiPriority w:val="39"/>
    <w:rsid w:val="000D0420"/>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64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2340</Words>
  <Characters>13575</Characters>
  <Application>Microsoft Office Word</Application>
  <DocSecurity>0</DocSecurity>
  <Lines>113</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MFE</Company>
  <LinksUpToDate>false</LinksUpToDate>
  <CharactersWithSpaces>15884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Mariana.Simbrian</dc:creator>
  <cp:lastModifiedBy>matei vadim</cp:lastModifiedBy>
  <cp:revision>2</cp:revision>
  <cp:lastPrinted>2022-06-30T15:36:00Z</cp:lastPrinted>
  <dcterms:created xsi:type="dcterms:W3CDTF">2022-10-18T13:30:00Z</dcterms:created>
  <dcterms:modified xsi:type="dcterms:W3CDTF">2022-10-18T13:30:00Z</dcterms:modified>
</cp:coreProperties>
</file>